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Aktenuebergabe Kappel</w:t>
      </w:r>
    </w:p>
    <w:p>
      <w:pPr/>
      <w:r>
        <w:t>Kanzlei Kappel an Kanzlei Lindenfels. Vermerk vom 16.10.2026, 08.00 Uhr. Akte SK 155/26.</w:t>
      </w:r>
    </w:p>
    <w:p>
      <w:pPr/>
      <w:r>
        <w:t>Die Mandantin hat den Wechsel bestätigt. Ich übergebe die Eingaben vom 01. und 02.10., die gerichtliche Entscheidung vom 09.10. und die ergänzenden Unterlagen. Den Raumplan erhielt ich erst am 07.10. Meine Flächenangabe im ersten Schreiben beruhte auf einer telefonischen Schätzung des Ehemanns und einer älteren Notiz aus einer anderen Sache. Eine Entscheidung mit der dort genannten starren Grenze habe ich in dieser Akte nicht abgelegt.</w:t>
      </w:r>
    </w:p>
    <w:p>
      <w:pPr/>
      <w:r>
        <w:t>Das Gericht hat den Schriftsatz nach seiner Mitteilung als Hauptsacheantrag und Antrag auf vorläufige Regelung behandelt. Der vorläufige Antrag wurde abgelehnt. Ich habe am 13.10.2026 eine sofortige Beschwerde an die Kammer geschickt. Eine vertiefte Prüfung der Statthaftigkeit ist nicht dokumentiert. Eine Entscheidung des Oberlandesgerichts liegt nicht vor. Die Hauptsache ist nach meinem Kenntnisstand weiter offen.</w:t>
      </w:r>
    </w:p>
    <w:p>
      <w:pPr/>
      <w:r>
        <w:t>Die vollständige ärztliche Dokumentation wurde angefordert. Die Einwilligung war zunächst nur für organisatorische Auskünfte formuliert und wurde am 14.10. präzisiert. Es ist deshalb möglich, dass eine verzögerte Übersendung auf diese Rückfrage zurückgeht. Ich habe keine medizinische Aussage dazu getroffen, ob die Mandantin jetzt ohne jede weitere Beobachtung sicher wäre.</w:t>
      </w:r>
    </w:p>
    <w:p>
      <w:pPr/>
      <w:r>
        <w:t>Die Mandantin hat mich gebeten, die Frage einer als grob empfundenen Begleitung zunächst zurückzustellen. Ich habe keine Strafanzeige veranlasst. Die Unterlagen enthalten die Namen der beiden Mitgefangenen nur gekürzt. Eine ungefragte Weitergabe ihrer medizinischen Daten soll vermieden werden.</w:t>
      </w:r>
    </w:p>
    <w:p>
      <w:pPr/>
      <w:r>
        <w:t>Sigrun Kappel. Die Rechnung über 357,00 EUR ist nach Kanzleibuchung noch nicht ausgeglichen.</w:t>
      </w:r>
    </w:p>
    <w:sectPr w:rsidR="00FC693F" w:rsidRPr="0006063C" w:rsidSect="00034616">
      <w:footerReference w:type="default" r:id="rId9"/>
      <w:pgSz w:w="11906" w:h="16838"/>
      <w:pgMar w:top="1247" w:right="1304" w:bottom="1247"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sz w:val="18"/>
      </w:rPr>
      <w:t xml:space="preserve">SR-227/26  |  </w:t>
    </w:r>
    <w:fldSimple w:instr="PAGE">
      <w: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80" w:line="25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200"/>
      <w:outlineLvl w:val="0"/>
    </w:pPr>
    <w:rPr>
      <w:rFonts w:ascii="Times New Roman" w:hAnsi="Times New Roman"/>
      <w:b/>
      <w:bCs/>
      <w:color w:val="000000"/>
      <w:sz w:val="2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imes New Roman" w:hAnsi="Times New Roman"/>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Aktenuebergabe Kappel</dc:title>
  <dc:subject/>
  <dc:creator>JVA Silberrain</dc:creator>
  <cp:keywords/>
  <dc:description>generated by python-docx</dc:description>
  <cp:lastModifiedBy/>
  <cp:revision>1</cp:revision>
  <dcterms:created xsi:type="dcterms:W3CDTF">2026-10-16T00:00:00Z</dcterms:created>
  <dcterms:modified xsi:type="dcterms:W3CDTF">2026-10-16T00:00:00Z</dcterms:modified>
  <cp:category/>
  <dc:language>de-DE</dc:language>
</cp:coreProperties>
</file>