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Ergaenzung und Rechtsschutz Entwurf</w:t>
      </w:r>
    </w:p>
    <w:p>
      <w:pPr/>
      <w:r>
        <w:t>Rechtsanwalt Xaver Lindenfels. An die zuständige Strafvollstreckungskammer. Fiktives Zeichen ÜBUNG 4 StVK 307/26. Arbeitsentwurf vom 16.10.2026, nicht eingereicht.</w:t>
      </w:r>
    </w:p>
    <w:p>
      <w:pPr>
        <w:pStyle w:val="Heading1"/>
      </w:pPr>
      <w:r>
        <w:t>1. Verfahrensklärung</w:t>
      </w:r>
    </w:p>
    <w:p>
      <w:pPr/>
      <w:r>
        <w:t>Ich zeige die Übernahme der Vertretung von Amira Finkbeiner an. Die Hauptsacheeingabe vom 02.10.2026 und die nachfolgende sofortige Beschwerde sind nach ihrem tatsächlichen Rechtsschutzziel und ihrer Statthaftigkeit zu prüfen. [Den aktuellen gerichtlichen Verfahrensstand, den Umgang mit der Eingabe vom 13.10. und das konkrete heute zu verfolgende Begehren nach Akteneinsicht einsetzen.] Ein Beschluss nach § 114 Absatz 2 StVollzG wird durch seine Bezeichnung als sofortige Beschwerde nicht regulär anfechtbar.</w:t>
      </w:r>
    </w:p>
    <w:p>
      <w:pPr/>
      <w:r>
        <w:t>Die Mandantin beanstandet mehrere selbständige Maßnahmen und Zeitabschnitte. Sie bestreitet den Schutzbedarf am 28.09.2026 nicht. Sie verlangt eine nachvollziehbare Prüfung der Art, Dauer und tatsächlichen Ausgestaltung jeder Einschränkung. Eine Entscheidung über medizinisch gebotene Hilfe soll durch den vorliegenden Antrag nicht verhindert werden. [Den passenden Hauptsacheantrag für noch fortdauernde und bereits erledigte Maßnahmen jeweils ausformulieren; ein Feststellungsinteresse nicht nur behaupten.]</w:t>
      </w:r>
    </w:p>
    <w:p>
      <w:pPr>
        <w:pStyle w:val="Heading1"/>
      </w:pPr>
      <w:r>
        <w:t>2. Ablauf und Unterbringung</w:t>
      </w:r>
    </w:p>
    <w:p>
      <w:pPr/>
      <w:r>
        <w:t>Die besonders gesicherte Unterbringung dauerte vom 28.09.2026, 18.40 Uhr, bis zum 01.10.2026, 10.20 Uhr. Diese Zeit ist vom späteren Aufenthalt im Raum B 12 zu trennen. Der Gürtel blieb nach der Folgeverfügung zunächst im Verwahrbereich. Schutzmaterial wurde ausgegeben; streitig ist, ob in der ersten Nacht ausreichendes Material rechtzeitig verfügbar war. Die spätere Ausgabe gewöhnlicher Bettwäsche erfolgte laut Liste am 04.10. Die genaue medizinische Begründung und die individuellen Überprüfungen sind vollständig beizuziehen. Belege: A1 bis A4.</w:t>
      </w:r>
    </w:p>
    <w:p>
      <w:pPr/>
      <w:r>
        <w:t>Vom 01. bis 03.10. war B 12 mit zwei Personen belegt. Eine dritte Person kam am Abend des 03.10. hinzu und verließ den Raum am Morgen des 06.10. Der Bestandsplan nennt 14,20 Quadratmeter einschließlich Sanitärzone. Das Aufmaß nennt 13,86 Quadratmeter bis zur veränderten Innenwand. Beide Zahlen sind mit ihrer jeweiligen Messgrundlage zu prüfen; eine Schätzung des Ehemanns ist kein Aufmaß. Belege: A5 und A6.</w:t>
      </w:r>
    </w:p>
    <w:p>
      <w:pPr>
        <w:pStyle w:val="Heading1"/>
      </w:pPr>
      <w:r>
        <w:t>3. Landesrecht und gerichtlicher Maßstab</w:t>
      </w:r>
    </w:p>
    <w:p>
      <w:pPr/>
      <w:r>
        <w:t>Die materielle Prüfung richtet sich nach dem für Erwachsenenstrafvollzug einschlägigen dritten Buch des baden-württembergischen Justizvollzugsgesetzbuchs. § 67 unterscheidet die einzelnen besonderen Sicherungsmaßnahmen; § 68 betrifft die dort geregelte Einzelhaft. Die bloße Unterbringung in einem Einzelraum ist damit nicht gleichzusetzen. Für Anordnung und ärztliche Beteiligung sind §§ 70 und 71 gesondert heranzuziehen. Für die spätere gemeinsame Unterbringung ist § 13 zu prüfen. Die Anstalt soll die tatsächliche Ausnahmegrundlage, die Dauer und ihre konkrete Entscheidung erläutern.</w:t>
      </w:r>
    </w:p>
    <w:p>
      <w:pPr/>
      <w:r>
        <w:t>§ 67 Absatz 5 JVollzGB Buch 3 begrenzt besondere Sicherungsmaßnahmen auf die erforderliche Dauer. Nach § 70 Absatz 2 ist bei psychischem Zustand als Anlass vor der Anordnung ärztlicher Rat einzuholen; bei Gefahr im Verzug ist die Beteiligung unverzüglich nachzuholen. Für den besonders gesicherten Haftraum verlangt § 71 Absatz 1 alsbaldigen und anschließend möglichst täglichen ärztlichen Besuch. § 68 enthält besondere Voraussetzungen für die dort geregelte Einzelhaft. Diese Anforderungen sind voneinander und von der Nachtunterbringung nach § 13 zu unterscheiden. Die am 16.10.2026 amtlich gelesene Gesamtfassung berücksichtigt die Änderung vom 10.02.2026 (GBl. Nr. 21).</w:t>
      </w:r>
    </w:p>
    <w:p>
      <w:pPr/>
      <w:r>
        <w:t>Das Bundesverfassungsgericht verlangt in seinem Beschluss vom 22.03.2016, Az. 2 BvR 566/15, Rn. 17–24, eine konkrete Befassung mit den Umständen der Unterbringung. Der Entscheidung wird hier keine bundesweit starre Quadratmetergrenze entnommen. Fläche, Sanitärabtrennung, Belegungsdauer, Einschlusszeiten und Ausweichmöglichkeiten sind deshalb mit ihren Belegen vorzutragen. [Aktuelle Raummaße, Beschaffenheit der Sanitärtür und tatsächliche tägliche Öffnungszeiten nach Aufklärung einsetzen.]</w:t>
      </w:r>
    </w:p>
    <w:p>
      <w:pPr/>
      <w:r>
        <w:t>Für den vorläufigen Rechtsschutz sind Dringlichkeit und erreichbare Regelung konkret zu benennen. Der Beschluss des Bundesverfassungsgerichts vom 30.09.2024, Az. 2 BvR 150/24, Rn. 29–38, ist mit seinem tatsächlichen Verfahrenskontext auszuwerten. Er ersetzt keine Prüfung, welcher Schritt nach dem hier schon ergangenen vorläufigen Beschluss noch statthaft und sinnvoll ist. [Neue Umstände seit dem 09.10., aktueller medizinischer Stand und angemessenes vorläufiges Begehren ergänzen.]</w:t>
      </w:r>
    </w:p>
    <w:p>
      <w:pPr>
        <w:pStyle w:val="Heading1"/>
      </w:pPr>
      <w:r>
        <w:t>4. Schutzbedarf und weniger belastende Gestaltung</w:t>
      </w:r>
    </w:p>
    <w:p>
      <w:pPr/>
      <w:r>
        <w:t>Der Beschluss des Bundesverfassungsgerichts vom 18.03.2015, Az. 2 BvR 1111/13, Rn. 29–36, verlangt eine gesonderte Rechtfertigung einzelner Sicherungsmaßnahmen und befasst sich mit konkret erforderlicher Entkleidung und Ersatzkleidung. Daraus folgt keine pauschale Freigabe gewöhnlicher Bettwäsche in jedem Gefährdungsfall. Der Beschluss vom 24.01.2008, Az. 2 BvR 1661/06, Rn. 38–43, behandelt tatsächliche Gefahr, fachärztliche Befassung und weniger belastende Alternativen im damaligen Untersuchungshaftkontext. Er kann nur mit offengelegter Übertragungsgrenze als verfassungsrechtliche Orientierung dienen; das heutige baden-württembergische Landesrecht bleibt gesondert anzuwenden.</w:t>
      </w:r>
    </w:p>
    <w:p>
      <w:pPr/>
      <w:r>
        <w:t>Die ärztliche Notiz beschreibt eine ernsthafte Krise und eine zunächst notwendige enge Begleitung. Diese Angaben dürfen nicht allein mit der privaten Einschätzung des Ehemanns widerlegt werden. Die Mandantin wünscht fortgesetzte Behandlung und Gespräche. Zu prüfen bleibt, welche Gegenstände wann unter welchen Bedingungen wieder ausgegeben werden konnten, ob geeignetes Ersatzmaterial ausreichend vorhanden war und wie Schutz und Privatheit miteinander verbunden wurden.</w:t>
      </w:r>
    </w:p>
    <w:p>
      <w:pPr/>
      <w:r>
        <w:t>Die vorübergehende Aufnahme einer dritten Frau wird mit einem Wasserschaden begründet. Das kann organisatorischen Handlungsbedarf erklären, beantwortet aber nicht die tatsächliche Nutzbarkeit des Raums und die individuelle Zumutbarkeit. Der Vortrag soll weder eine Mitgefangene für die Krise verantwortlich machen noch deren Gesundheitsdaten offenlegen. [Konkrete Alternative, verfügbare Räume und verbleibende Schutzbelange der Anstalt ergänzen.]</w:t>
      </w:r>
    </w:p>
    <w:p>
      <w:pPr>
        <w:pStyle w:val="Heading1"/>
      </w:pPr>
      <w:r>
        <w:t>5. Anlagen und Abschluss</w:t>
      </w:r>
    </w:p>
    <w:p>
      <w:pPr/>
      <w:r>
        <w:t>A1 Schutzanordnung; A2 Bekanntgabe; A3 Beobachtungsvermerk; A4 ärztliche Mitteilung; A5 Raumblatt; A6 Belegungsmitteilung; A7 Eingabe 30.09.; A8 frühere gerichtliche Eingabe; A9 Beschluss 09.10.; A10 elektronischer Zustellnachweis; A11 Gespräch 15.10.; A12 Vollmacht. Materiallisten und vollständige Behandlungsunterlagen sind angefordert und noch nicht vollständig vorhanden. Kein Anlagenverweis darf eine tatsächlich fehlende Datei als vorhanden darstellen.</w:t>
      </w:r>
    </w:p>
    <w:p>
      <w:pPr/>
      <w:r>
        <w:t>Xaver Lindenfels, Rechtsanwalt. Der Text enthält ausdrücklich offene Tatsachen- und Antragsfelder. Die Mandantin muss die fertige Tatsachendarstellung vor Einreichung prüfen können.</w:t>
      </w:r>
    </w:p>
    <w:p>
      <w:pPr>
        <w:pStyle w:val="Heading1"/>
      </w:pPr>
      <w:r>
        <w:t>6. Amtliche Recherchezugänge</w:t>
      </w:r>
    </w:p>
    <w:p>
      <w:pPr/>
      <w:r>
        <w:t>JVollzGB Buch 3: https://www.landesrecht-bw.de/bsbw/document/jlr-NNLBW00007CFA. BVerfG, Beschluss vom 18.03.2015, Az. 2 BvR 1111/13: https://www.bundesverfassungsgericht.de/SharedDocs/Entscheidungen/DE/2015/03/rk20150318_2bvr111113.html. BVerfG, Beschluss vom 24.01.2008, Az. 2 BvR 1661/06: https://www.bundesverfassungsgericht.de/SharedDocs/Entscheidungen/DE/2008/01/rk20080124_2bvr166106.html. Weitere zitierte Entscheidungen sind über die amtliche Entscheidungssuche mit Datum und Aktenzeichen aufzurufen. Die Randnummern und der Verfahrenskontext sind vor Einreichung abzugleichen.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SR-227/26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Ergaenzung und Rechtsschutz Entwurf</dc:title>
  <dc:subject/>
  <dc:creator>JVA Silberrain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