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Mandatsauftrag 16 Oktober</w:t>
      </w:r>
    </w:p>
    <w:p>
      <w:pPr/>
      <w:r>
        <w:t>Kanzlei Rehbein, Fiktiver Auensteg 14, 34121 Kassel. Aktenzeichen RH 214/26. Vermerk vom 16.10.2026, 09.20 Uhr.</w:t>
      </w:r>
    </w:p>
    <w:p>
      <w:pPr>
        <w:pStyle w:val="Heading1"/>
      </w:pPr>
      <w:r>
        <w:t>1. Auftrag</w:t>
      </w:r>
    </w:p>
    <w:p>
      <w:pPr/>
      <w:r>
        <w:t>Jannis Hagedorn, geboren am 19.04.1984, verbüßt seit dem 03.02.2025 eine rechtskräftige Freiheitsstrafe in der erfundenen JVA Waldhain, Fiktive Waldhainstraße 80, 34125 Kassel. Der Vorgang betrifft Erwachsenenstrafvollzug in Hessen. Es liegt weder Untersuchungshaft noch Maßregelvollzug vor. Frau Rehbein hat die Vertretung am 15.10. übernommen; die vollständige Übergabe des Kollegen Volker Brack erfolgt heute. Die Vollmacht liegt vor. Die Aktenbezeichnung der Strafvollstreckungskammer lautet ausdrücklich fiktiv: ÜBUNG 7 StVK 214/26.</w:t>
      </w:r>
    </w:p>
    <w:p>
      <w:pPr/>
      <w:r>
        <w:t>Herr Hagedorn will die seit dem 09.09.2026 bestehende Trennung von den übrigen Gefangenen überprüfen lassen. Er berichtet von Schmerzen nach dem Zugriff am 09.09.2026 und von immer kürzeren Gesprächen an der Tür. Er verlangt nicht, ohne jede Prüfung auf die bisherige Station zurückzukehren. Einen stufenweisen Kontaktplan mit anderer Gruppe und begleiteten Gesprächen würde er versuchen. Seine Schwester möchte verhindern, dass der Streit mit einzelnen Bediensteten jede andere Frage überlagert.</w:t>
      </w:r>
    </w:p>
    <w:p>
      <w:pPr>
        <w:pStyle w:val="Heading1"/>
      </w:pPr>
      <w:r>
        <w:t>2. Bisheriger Verfahrensstand</w:t>
      </w:r>
    </w:p>
    <w:p>
      <w:pPr/>
      <w:r>
        <w:t>Der frühere Rechtsanwalt hat am 22.09.2026 einen Antrag mit Hauptsachebegehren und vorläufigem Begehren übermittelt. Die Kammer hat am 24.09.2026 ausschließlich den vorläufigen Antrag abgelehnt. Die Hauptsache ist nach Auskunft der Geschäftsstelle noch anhängig. Das Gerichtspostfach weist für den Beschluss eine elektronische Zustellung am 25.09.2026 aus. Die Kopie an den Gefangenen wurde erst am 28.09.2026 ausgegeben. Das sind verschiedene Ereignisse; eine Fristberechnung ist bislang nicht dokumentiert.</w:t>
      </w:r>
    </w:p>
    <w:p>
      <w:pPr>
        <w:pStyle w:val="Heading1"/>
      </w:pPr>
      <w:r>
        <w:t>3. Erwartetes Arbeitsergebnis</w:t>
      </w:r>
    </w:p>
    <w:p>
      <w:pPr/>
      <w:r>
        <w:t>Die Kanzlei soll alle Maßnahmen, Zeitabschnitte, Angaben und Belege auseinanderhalten und den vorhandenen Entwurf vervollständigen. Vor einer weiteren Einreichung sind der Stand der Hauptsache, die Art des bisherigen gerichtlichen Beschlusses, die Bekanntgabe der Fortdauerentscheidung und die vollständigen ärztlichen Unterlagen zu klären. Die Befürchtung eines Übergriffs ist eine unbewiesene Darstellung. Die Angaben der Bediensteten sollen genauso konkret ausgewertet werden. Ein Ermittlungsauftrag oder eine Strafanzeige ist noch nicht erteilt.</w:t>
      </w:r>
    </w:p>
    <w:p>
      <w:pPr/>
      <w:r>
        <w:t>Die beiden Tabellen sind Arbeitsunterlagen. Zeitdifferenzen ersetzen weder die Prüfung des zutreffenden Landesrechts noch die Berechnung einer Rechtsbehelfsfrist. Es soll kein Entwurf versandt werden, bevor Frau Rehbein den Text, Anlagen, aktuellen medizinischen Sachstand und Empfänger persönlich freigegeben hat.</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WH-418/26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Mandatsauftrag 16 Oktober</dc:title>
  <dc:subject/>
  <dc:creator>JVA Waldhain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