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Fortfuehrung des Verfahrens Entwurf</w:t>
      </w:r>
    </w:p>
    <w:p>
      <w:pPr/>
      <w:r>
        <w:t>Rechtsanwältin Malin Rehbein. An die zuständige Strafvollstreckungskammer des Landgerichts. Fiktives Verfahrenszeichen ÜBUNG 7 StVK 214/26. Entwurf vom 16.10.2026, nicht eingereicht.</w:t>
      </w:r>
    </w:p>
    <w:p>
      <w:pPr>
        <w:pStyle w:val="Heading1"/>
      </w:pPr>
      <w:r>
        <w:t>1. Verfahrensgegenstand und Anträge</w:t>
      </w:r>
    </w:p>
    <w:p>
      <w:pPr/>
      <w:r>
        <w:t>Ich zeige die Vertretung von Herrn Jannis Hagedorn an. Die Vollmacht ist beigefügt. Der Hauptsacheantrag vom 22.09.2026 wird nach Abgleich mit dem vollständigen Verwaltungsvorgang wie folgt präzisiert: [Die konkret angegriffene Anordnung, ihre bekannt gegebenen Fortsetzungen und die jeweils beantragte Rechtsfolge nach abschließender Akteneinsicht einsetzen.] Mein Mandant verlangt eine individuelle Entscheidung über die fortdauernde Absonderung und über praktisch geeignete Schritte aus dieser Situation. Eine Rückkehr ohne jede Sicherheitsprüfung ist nicht das einzige von ihm akzeptierte Ergebnis.</w:t>
      </w:r>
    </w:p>
    <w:p>
      <w:pPr/>
      <w:r>
        <w:t>Der vorläufige Antrag wird unter Berücksichtigung des Beschlusses vom 24.09.2026 und der seitdem entstandenen Umstände gesondert begründet: [Das vorläufige konkrete Begehren, dessen tatsächliche Dringlichkeit und den derzeitigen medizinischen Stand einsetzen.] Dieser Text bezeichnet keine unstatthafte Rechtsbeschwerde gegen einen Beschluss nach § 114 Absatz 2 StVollzG. Vor Einreichung ist festzuhalten, ob eine neue vorläufige Regelung, eine Änderung aufgrund nachträglicher Umstände oder ein anderer verfahrensrechtlicher Schritt beantragt wird.</w:t>
      </w:r>
    </w:p>
    <w:p>
      <w:pPr>
        <w:pStyle w:val="Heading1"/>
      </w:pPr>
      <w:r>
        <w:t>2. Chronologie und belegte Veränderungen</w:t>
      </w:r>
    </w:p>
    <w:p>
      <w:pPr/>
      <w:r>
        <w:t>Die Anstalt ordnete am 09.09.2026 eine Absonderung an. Ihr Bekanntgabevermerk nennt 18.15 Uhr. Die Eingabe vom 18.09.2026 enthält sowohl das Begehren nach gemeinschaftlicher Unterbringung als auch die Bitte um Untersuchung der Schulter. Die frühe gerichtliche Eingabe hat diese Gegenstände nicht getrennt dargestellt. Der Beschluss vom 24.09.2026 betrifft nach seinem Tenor nur das vorläufige Begehren. Belege: A1 bis A5.</w:t>
      </w:r>
    </w:p>
    <w:p>
      <w:pPr/>
      <w:r>
        <w:t>Am 09.10.2026 wurde die Fortdauer angeordnet. Die Anstalt nennt eine weiterhin mögliche Auseinandersetzung mit zwei bestimmten Mitgefangenen. Die Notiz des Sozialdienstes erwähnt dagegen einen begleiteten Kontakt in anderer Zusammensetzung. Es ist nicht geklärt, ob eine solche Maßnahme konkret geprüft, verworfen oder bereits versucht wurde. Ebenso fehlt der vollständige Nachweis der aufsichtsbehördlichen Befassung. Belege: A6 und A7. [Bekanntgabe, angeforderte vollständige Genehmigung und Stellungnahme der Abteilung ergänzen.]</w:t>
      </w:r>
    </w:p>
    <w:p>
      <w:pPr>
        <w:pStyle w:val="Heading1"/>
      </w:pPr>
      <w:r>
        <w:t>3. Rechtlicher Ausgangspunkt und offene Subsumtion</w:t>
      </w:r>
    </w:p>
    <w:p>
      <w:pPr/>
      <w:r>
        <w:t>Für den Erwachsenenstrafvollzug ist das hessische Landesrecht anhand seiner am Maßnahmetag geltenden Fassung anzuwenden. Besondere Sicherungsmaßnahmen und das Verfahren sind an §§ 50 und 51 HStVollzG zu prüfen. Aus dem bloßen Etikett „Absonderung“ folgt weder die Rechtmäßigkeit noch die Rechtswidrigkeit. Der anfängliche Anlass, die späteren Tatsachen, die Betreuung, ärztliche Beteiligung, Dokumentation und die Entscheidung über Fortdauer müssen jeweils am konkreten Zeitabschnitt geprüft werden. [Den verifizierten amtlichen Fassungsstand und die für die einzelnen Zeitabschnitte einschlägigen Absätze ergänzen.]</w:t>
      </w:r>
    </w:p>
    <w:p>
      <w:pPr/>
      <w:r>
        <w:t>§ 50 Absatz 7 HStVollzG knüpft eine Absonderung über 24 Stunden an ihre Unerlässlichkeit. Absatz 8 regelt besondere Betreuung sowie bei mehr als 30 Tagen Dauer oder insgesamt mehr als 90 Tagen innerhalb von zwölf Monaten die Zustimmung der Aufsichtsbehörde. § 51 Absatz 2 verlangt bei einer Absonderung über 24 Stunden spätestens nach drei Tagen eine ärztliche Stellungnahme und danach angemessene Abstände; Absatz 3 verlangt fortlaufende Überprüfung, Absatz 5 Dokumentation. Die amtliche Gesamtausgabe wurde am 16.10.2026 geprüft. Ob die konkreten Anforderungen eingehalten wurden, ist anhand der vollständigen Unterlagen zu bestimmen. Eine lediglich abgesandte Anfrage belegt noch keine erteilte Zustimmung.</w:t>
      </w:r>
    </w:p>
    <w:p>
      <w:pPr/>
      <w:r>
        <w:t>Der verfassungsrechtliche Maßstab ersetzt diese Tatbestandsprüfung nicht. Die Entscheidung des Bundesverfassungsgerichts vom 20.04.2026, Az. 2 BvR 1650/24, Rn. 32–46, betrifft den Maßregelvollzug und eine nicht hinreichend begründete Verfassungsbeschwerde. Sie darf hier nicht als unmittelbare Entscheidung über hessischen Strafvollzug ausgegeben werden. Ihre Erwägungen zur fortlaufenden Rechtfertigung länger dauernder Absonderung sind anhand der unterschiedlichen Regelungsgrundlagen und des konkreten Verlaufs zu prüfen. [Den tragenden Vergleich und seine Grenzen anhand des amtlichen Volltextes ausformulieren.]</w:t>
      </w:r>
    </w:p>
    <w:p>
      <w:pPr/>
      <w:r>
        <w:t>Der Beschluss des Bundesverfassungsgerichts vom 15.01.2020, Az. 2 BvR 1763/16, Rn. 39–43, betrifft effektive Strafverfolgung im Zusammenhang mit einer psychiatrischen Fixierung. Er berücksichtigt auch die besondere Beweissituation in staatlichem Gewahrsam. Er stellt keine Misshandlung in diesem fiktiven Fall fest und ersetzt keine Prüfung des richtigen Verfahrens. Ein etwaiger gesonderter Ermittlungsauftrag ist mit dem Mandanten noch zu klären. Die streitigen Wahrnehmungen und die medizinische Dokumentationslücke sollen deshalb gesichert, nicht als fertiger Schuldnachweis ausgegeben werden.</w:t>
      </w:r>
    </w:p>
    <w:p>
      <w:pPr/>
      <w:r>
        <w:t>Der Hinweis auf fehlende Unterlagen ist kein Beweis für einen Übergriff. Andererseits kann eine nicht beigefügte ärztliche Stellungnahme die streitige Frage einer Untersuchung nicht ohne weiteres beantworten. Es wird um Beiziehung des vollständigen Sicherungsvorgangs, der konkret bezeichneten ärztlichen Unterlagen und der maßgeblichen Dienstberichte gebeten. Gesundheitsdaten anderer Personen sind nicht Gegenstand dieses Antrags. Belege: A8 bis A10.</w:t>
      </w:r>
    </w:p>
    <w:p>
      <w:pPr>
        <w:pStyle w:val="Heading1"/>
      </w:pPr>
      <w:r>
        <w:t>4. Gegenargumente und Aufklärung</w:t>
      </w:r>
    </w:p>
    <w:p>
      <w:pPr/>
      <w:r>
        <w:t>Das dokumentierte aggressive Verhalten und die Sorge vor erneuten Auseinandersetzungen werden ernst genommen. Die Anstalt soll erläutern, weshalb auch ein begleiteter Kontakt mit anderen Personen derzeit ausscheidet und woran die Fortdauerentscheidung überprüfbar anknüpft. Die behauptete Erkrankung des Vaters erklärt die Erregung, entschuldigt aber keinen Angriff. Umgekehrt ist ein unter Druck entstandener Streit kein dauerhafter Ersatz für die weitere Einzelfallprüfung.</w:t>
      </w:r>
    </w:p>
    <w:p>
      <w:pPr/>
      <w:r>
        <w:t>Vor einer abschließenden Fassung fehlen die vollständige medizinische Stellungnahme, das Ergebnis der Schulteruntersuchung, die Antwort zur Aufsichtsbehörde und ein belastbarer aktueller Kontaktplan. [Die heute fortdauernden Belastungen, das beantragte vorläufige Mindestmaß an Kontakt und den Umgang mit widersprechenden Berichten konkret ergänzen.] Der Antragsteller bietet an, seine Erinnerungen in einem geordneten Gespräch zu präzisieren. Eine bereits feststehende Misshandlung wird nicht behauptet.</w:t>
      </w:r>
    </w:p>
    <w:p>
      <w:pPr>
        <w:pStyle w:val="Heading1"/>
      </w:pPr>
      <w:r>
        <w:t>5. Anlagen und Freigabe</w:t>
      </w:r>
    </w:p>
    <w:p>
      <w:pPr/>
      <w:r>
        <w:t>A1 Anordnung 09.09.; A2 Bekanntgabe; A3 Eingabe 18.09.; A4 Antrag 22.09.; A5 Beschluss 24.09.; A6 Fortdauer 09.10.; A7 Nachricht Sozialdienst; A8 Frühdienstbericht; A9 Spätdienstbericht; A10 Vermerk des medizinischen Dienstes; A11 Gespräch 15.10.; A12 Vollmacht. Die Anlagen sind vor Einreichung auf Vollständigkeit und lesbare Seitennummern zu prüfen. Die übrigen Unterlagen verbleiben zunächst in der Arbeitsakte.</w:t>
      </w:r>
    </w:p>
    <w:p>
      <w:pPr/>
      <w:r>
        <w:t>Malin Rehbein, Rechtsanwältin. Bearbeitungsfassung ohne Versandfreigabe.</w:t>
      </w:r>
    </w:p>
    <w:p>
      <w:pPr>
        <w:pStyle w:val="Heading1"/>
      </w:pPr>
      <w:r>
        <w:t>6. Amtliche Recherchezugänge</w:t>
      </w:r>
    </w:p>
    <w:p>
      <w:pPr/>
      <w:r>
        <w:t>HStVollzG: https://www.rv.hessenrecht.hessen.de/bshe/document/jlr-StVollzGHEV6IVZ. BVerfG, Beschluss vom 15.01.2020, Az. 2 BvR 1763/16: https://www.bundesverfassungsgericht.de/SharedDocs/Entscheidungen/DE/2020/01/rk20200115_2bvr176316.html. BVerfG, Beschluss vom 20.04.2026, Az. 2 BvR 1650/24: https://www.bundesverfassungsgericht.de/SharedDocs/Entscheidungen/DE/2026/04/rk20260420_2bvr165024.html. Die Randnummern und die Übertragbarkeit sind bei Fertigstellung erneut am amtlichen Volltext abzugleichen.</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WH-418/26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Fortfuehrung des Verfahrens Entwurf</dc:title>
  <dc:subject/>
  <dc:creator>JVA Waldhain</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