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Dienstvertrag für das Vorstandsmitglied Finanzen</w:t>
      </w:r>
    </w:p>
    <w:p>
      <w:r>
        <w:t>20. März 2026</w:t>
        <w:br/>
        <w:t>Ausfertigung für beide Vertragsparteien</w:t>
      </w:r>
    </w:p>
    <w:p>
      <w:r>
        <w:t>Zwischen der Leinefaden Systeme AG, Kanalhof 7, 30159 Hannover, vertreten durch die Aufsichtsratsvorsitzende Ottilie Rabenau, und Frau Dr. Elif Brandt, Lindensteg 23, 30167 Hannover, wird folgender Dienstvertrag geschlossen.</w:t>
      </w:r>
    </w:p>
    <w:p>
      <w:pPr>
        <w:pStyle w:val="Heading1"/>
      </w:pPr>
      <w:r>
        <w:t>1 Beginn und Dauer</w:t>
      </w:r>
    </w:p>
    <w:p>
      <w:r>
        <w:t>Das Dienstverhältnis beginnt am 1. April 2026 und endet mit Ablauf des 31. März 2029, ohne dass es einer Kündigung bedarf. Die gesellschaftsrechtliche Bestellung richtet sich nach dem Aufsichtsratsbeschluss vom 18. März 2026. Ein vorzeitiger Widerruf der Bestellung beendet den Dienstvertrag nicht ohne Weiteres. Das Recht beider Parteien zur Kündigung aus wichtigem Grund bleibt unberührt.</w:t>
      </w:r>
    </w:p>
    <w:p>
      <w:pPr>
        <w:pStyle w:val="Heading1"/>
      </w:pPr>
      <w:r>
        <w:t>2 Aufgaben und Verantwortung</w:t>
      </w:r>
    </w:p>
    <w:p>
      <w:r>
        <w:t>Frau Brandt führt das Ressort Finanzen und Organisation in eigener Verantwortung im Rahmen der gesetzlichen Pflichten, der Satzung und der Geschäftsordnung. Sie erstellt die Finanzplanung, verantwortet die Zahlungsfähigkeit und organisiert das Rechnungswesen. Die Gesamtverantwortung des Vorstands bleibt bestehen. Der Aufsichtsrat überwacht die Tätigkeit und erhält die gesetzlich und vertraglich vorgesehenen Berichte. Operative Einzelweisungen aus einem Arbeitsverhältnis werden mit diesem Vertrag nicht vereinbart.</w:t>
      </w:r>
    </w:p>
    <w:p>
      <w:pPr>
        <w:pStyle w:val="Heading1"/>
      </w:pPr>
      <w:r>
        <w:t>3 Zusammenarbeit und Zeit</w:t>
      </w:r>
    </w:p>
    <w:p>
      <w:r>
        <w:t>Frau Brandt widmet der Gesellschaft die zur ordnungsgemäßen Aufgabenerfüllung erforderliche Arbeitskraft. Ein monatliches Stundenkontingent wird nicht festgelegt. Termine außerhalb der üblichen Bürozeiten können erforderlich sein. Die Gesellschaft stellt einen Arbeitsplatz und die notwendigen Kommunikationsmittel zur Verfügung. Die Ressortverteilung und die Vertretung während Abwesenheiten werden durch den Gesamtvorstand abgestimmt.</w:t>
      </w:r>
    </w:p>
    <w:p>
      <w:pPr>
        <w:pStyle w:val="Heading1"/>
      </w:pPr>
      <w:r>
        <w:t>4 Festvergütung</w:t>
      </w:r>
    </w:p>
    <w:p>
      <w:r>
        <w:t>Frau Brandt erhält monatlich 6.200 Euro brutto, zahlbar am letzten Bankarbeitstag. Die Gesellschaft führt die gesetzlich geschuldeten Steuern und Beiträge ab und zahlt gesetzlich geschuldete Versicherungszuschüsse. Diese Klausel enthält keine eigenständige Zusage einer Versicherungsfreiheit. Nachgewiesene dienstlich veranlasste Reisekosten werden nach der Reisekostenregelung der Gesellschaft erstattet.</w:t>
      </w:r>
    </w:p>
    <w:p>
      <w:pPr>
        <w:pStyle w:val="Heading1"/>
      </w:pPr>
      <w:r>
        <w:t>5 Variable Vergütung</w:t>
      </w:r>
    </w:p>
    <w:p>
      <w:r>
        <w:t>Eine variable Jahresvergütung kann bis zu 24.000 Euro betragen. Ihre Gewährung setzt eine schriftlich beschlossene Zielvereinbarung des Aufsichtsrats und die spätere Feststellung der Zielerreichung voraus. Für 2026 ist die Zielvereinbarung bis zum 30. Juni vorgesehen. Aus der bloßen Nennung des Höchstbetrags folgt weder eine garantierte Mindestzahlung noch eine anteilige monatliche Fälligkeit. Kommt eine Vereinbarung nicht zustande, beraten die Parteien über die entstandene Situation, ohne mit dieser Regelung einen bestimmten Zahlungsbetrag vorwegzunehmen.</w:t>
      </w:r>
    </w:p>
    <w:p>
      <w:pPr>
        <w:pStyle w:val="Heading1"/>
      </w:pPr>
      <w:r>
        <w:t>6 Urlaub und Verhinderung</w:t>
      </w:r>
    </w:p>
    <w:p>
      <w:r>
        <w:t>Frau Brandt stimmt Erholungszeiten mit dem Vorstandsvorsitzenden ab und sorgt für die notwendige Vertretung. Als Richtgröße werden 30 Arbeitstage pro Kalenderjahr vereinbart. Bei unverschuldeter Dienstunfähigkeit wird die Festvergütung bis zu sechs Monate fortgezahlt, soweit nicht anderweitige Leistungen anzurechnen sind. Längere Verhinderungen werden der Aufsichtsratsvorsitzenden unverzüglich mitgeteilt.</w:t>
      </w:r>
    </w:p>
    <w:p>
      <w:pPr>
        <w:pStyle w:val="Heading1"/>
      </w:pPr>
      <w:r>
        <w:t>7 Nebentätigkeiten</w:t>
      </w:r>
    </w:p>
    <w:p>
      <w:r>
        <w:t>Das Aufsichtsratsmandat bei der Havelstrom Speicher AG und das zeitlich begrenzte Beratungsprojekt für die Mohnwinkel Service GmbH werden nach Maßgabe des gesonderten Zustimmungsbeschlusses gestattet. Frau Brandt zeigt Interessenkonflikte an und nimmt an betroffenen Entscheidungen nicht ohne vorherige Abstimmung teil. Die Zustimmung übernimmt keine Abrechnung oder sozialversicherungsrechtliche Beurteilung des jeweiligen Rechtsverhältnisses.</w:t>
      </w:r>
    </w:p>
    <w:p>
      <w:pPr>
        <w:pStyle w:val="Heading1"/>
      </w:pPr>
      <w:r>
        <w:t>8 Vertraulichkeit und Rückgabe</w:t>
      </w:r>
    </w:p>
    <w:p>
      <w:r>
        <w:t>Vertrauliche Geschäftsunterlagen werden nur zur Aufgabenerfüllung verwendet und bei Ende des Dienstverhältnisses zurückgegeben. Die Verschwiegenheitspflicht gilt auch danach. Gesetzliche Auskunfts-, Anzeige- und Mitwirkungspflichten werden nicht eingeschränkt. Personenbezogene Daten werden nach den dafür geltenden Regeln verarbeitet.</w:t>
      </w:r>
    </w:p>
    <w:p>
      <w:pPr>
        <w:pStyle w:val="Heading1"/>
      </w:pPr>
      <w:r>
        <w:t>9 Schlussbestimmungen</w:t>
      </w:r>
    </w:p>
    <w:p>
      <w:r>
        <w:t>Eine Rückkehr in das frühere Arbeitsverhältnis ist nicht vereinbart. Änderungen werden schriftlich dokumentiert; zwingende Formvorschriften und wirksame individuelle Abreden bleiben unberührt. Sollte eine einzelne Vereinbarung unwirksam sein, wird eine zulässige Regelung vereinbart, die dem beabsichtigten wirtschaftlichen Zweck möglichst nahekommt, ohne zwingendes Recht zu umgehen.</w:t>
      </w:r>
    </w:p>
    <w:p>
      <w:r>
        <w:t>Hannover, 20. März 2026</w:t>
        <w:br/>
        <w:t>Ottilie Rabenau für den Aufsichtsrat</w:t>
        <w:br/>
        <w:t>Dr. Elif Brandt</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Leinefaden Systeme AG und Dr. Elif Brandt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Dienstvertrag für das Vorstandsmitglied Finanzen</dc:title>
  <dc:subject/>
  <dc:creator>Leinefaden Systeme AG und Dr. Elif Brandt</dc:creator>
  <cp:keywords/>
  <dc:description>generated by python-docx</dc:description>
  <cp:lastModifiedBy/>
  <cp:revision>1</cp:revision>
  <dcterms:created xsi:type="dcterms:W3CDTF">2013-12-23T23:15:00Z</dcterms:created>
  <dcterms:modified xsi:type="dcterms:W3CDTF">2013-12-23T23:15:00Z</dcterms:modified>
  <cp:category/>
</cp:coreProperties>
</file>