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als Leiterin Finanzen</w:t>
      </w:r>
    </w:p>
    <w:p>
      <w:r>
        <w:t>14. Dezember 2021</w:t>
        <w:br/>
        <w:t>Ausfertigung für Dr. Elif Brandt</w:t>
      </w:r>
    </w:p>
    <w:p>
      <w:pPr>
        <w:pStyle w:val="Heading1"/>
      </w:pPr>
      <w:r>
        <w:t>1 Beginn und Aufgaben</w:t>
      </w:r>
    </w:p>
    <w:p>
      <w:r>
        <w:t>Frau Dr. Elif Brandt wird ab dem 1. Januar 2022 als Leiterin Finanzen beschäftigt. Sie untersteht dem Vorstandsvorsitzenden und setzt dessen Vorgaben zur Budgetplanung und Organisation des Rechnungswesens um. Sie bereitet Investitionsentscheidungen vor, ohne selbst Mitglied eines Gesellschaftsorgans zu sein. Über Budgetabweichungen von mehr als 25.000 Euro entscheidet der zuständige Vorstand.</w:t>
      </w:r>
    </w:p>
    <w:p>
      <w:pPr>
        <w:pStyle w:val="Heading1"/>
      </w:pPr>
      <w:r>
        <w:t>2 Arbeitszeit und Arbeitsort</w:t>
      </w:r>
    </w:p>
    <w:p>
      <w:r>
        <w:t>Die regelmäßige Arbeitszeit beträgt 40 Wochenstunden an fünf Arbeitstagen. Arbeitsort ist Hannover. Mobile Arbeit an bis zu zwei Tagen je Woche wird nach Abstimmung gestattet. Angeordnete Mehrarbeit wird durch Freizeit ausgeglichen. Dienstreisen sind im für die Aufgabe üblichen Umfang durchzuführen. Die Gesellschaft stellt die erforderlichen Geräte und Zugänge bereit.</w:t>
      </w:r>
    </w:p>
    <w:p>
      <w:pPr>
        <w:pStyle w:val="Heading1"/>
      </w:pPr>
      <w:r>
        <w:t>3 Vergütung</w:t>
      </w:r>
    </w:p>
    <w:p>
      <w:r>
        <w:t>Die feste monatliche Bruttovergütung beträgt 7.200 Euro und wird zum Monatsende gezahlt. Ein variabler Vergütungsanspruch wird nicht vereinbart. Steuern und gesetzlich geschuldete Beiträge werden abgeführt. Gesetzliche Zuschüsse zur Kranken- und Pflegeversicherung werden nach Vorlage der Versicherungsnachweise gezahlt. Notwendige Reisekosten werden gegen Beleg erstattet.</w:t>
      </w:r>
    </w:p>
    <w:p>
      <w:pPr>
        <w:pStyle w:val="Heading1"/>
      </w:pPr>
      <w:r>
        <w:t>4 Urlaub und Krankheit</w:t>
      </w:r>
    </w:p>
    <w:p>
      <w:r>
        <w:t>Der jährliche Urlaub beträgt bei einer Fünftagewoche 30 Arbeitstage. Die Lage des Urlaubs wird unter Berücksichtigung der betrieblichen Belange abgestimmt. Arbeitsunfähigkeit und voraussichtliche Dauer sind unverzüglich mitzuteilen. Die Entgeltfortzahlung richtet sich nach dem Gesetz. Die gesetzlichen Anzeige- und Nachweispflichten gelten in ihrer jeweiligen Fassung.</w:t>
      </w:r>
    </w:p>
    <w:p>
      <w:pPr>
        <w:pStyle w:val="Heading1"/>
      </w:pPr>
      <w:r>
        <w:t>5 Nebentätigkeit und Vertraulichkeit</w:t>
      </w:r>
    </w:p>
    <w:p>
      <w:r>
        <w:t>Entgeltliche Nebentätigkeiten sind vor Aufnahme anzuzeigen. Eine Untersagung erfolgt nur bei berechtigten betrieblichen Interessen. Geschäftsgeheimnisse und personenbezogene Informationen werden vertraulich behandelt. Unterlagen und Geräte sind bei Vertragsende zurückzugeben; gesetzlich zulässige eigene Nachweise bleiben unberührt.</w:t>
      </w:r>
    </w:p>
    <w:p>
      <w:pPr>
        <w:pStyle w:val="Heading1"/>
      </w:pPr>
      <w:r>
        <w:t>6 Beendigung</w:t>
      </w:r>
    </w:p>
    <w:p>
      <w:r>
        <w:t>Nach einer sechsmonatigen Probezeit gilt eine Kündigungsfrist von drei Monaten zum Quartalsende. Zwingende längere Fristen bleiben maßgeblich. Kündigungen bedürfen der Schriftform. Eine Bestellung in ein Gesellschaftsorgan verändert dieses Arbeitsverhältnis nur aufgrund einer ausdrücklichen weiteren Vereinbarung.</w:t>
      </w:r>
    </w:p>
    <w:p>
      <w:r>
        <w:t>Hannover, 14. Dezember 2021</w:t>
        <w:br/>
        <w:t>Lennart Volkmann für die Gesellschaft</w:t>
        <w:b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Leinefaden Systeme AG und 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als Leiterin Finanzen</dc:title>
  <dc:subject/>
  <dc:creator>Leinefaden Systeme AG und 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