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über die Beendigung des Arbeitsverhältnisses</w:t>
      </w:r>
    </w:p>
    <w:p>
      <w:r>
        <w:t>20. März 2026</w:t>
        <w:br/>
        <w:t>Ausfertigung für beide Vertragsparteien</w:t>
      </w:r>
    </w:p>
    <w:p>
      <w:pPr>
        <w:pStyle w:val="Heading1"/>
      </w:pPr>
      <w:r>
        <w:t>1 Beendigung</w:t>
      </w:r>
    </w:p>
    <w:p>
      <w:r>
        <w:t>Die Parteien beenden das Arbeitsverhältnis aus dem Vertrag vom 14. Dezember 2021 einvernehmlich mit Ablauf des 31. März 2026. Es wird für die Dauer eines künftigen Vorstandsdienstverhältnisses nicht ruhend gestellt. Ein Anspruch auf spätere Wiederaufnahme oder Wiedereinstellung wird nicht vereinbart.</w:t>
      </w:r>
    </w:p>
    <w:p>
      <w:pPr>
        <w:pStyle w:val="Heading1"/>
      </w:pPr>
      <w:r>
        <w:t>2 Abrechnung</w:t>
      </w:r>
    </w:p>
    <w:p>
      <w:r>
        <w:t>Die feste Vergütung wird bis einschließlich März unverändert abgerechnet. Eine Abfindung wird nicht gezahlt. Aus der Reisekostenabrechnung vom 12. März sind noch 286,40 Euro zu erstatten; dieser Betrag wird mit der Märzabrechnung ausgezahlt. Die Parteien verzichten nicht auf Ansprüche, die aus einer späteren rechnerischen Korrektur dieser Abrechnung entstehen.</w:t>
      </w:r>
    </w:p>
    <w:p>
      <w:pPr>
        <w:pStyle w:val="Heading1"/>
      </w:pPr>
      <w:r>
        <w:t>3 Urlaub und Arbeitsmittel</w:t>
      </w:r>
    </w:p>
    <w:p>
      <w:r>
        <w:t>Die bis zum Beendigungsdatum entstandenen Urlaubsansprüche sind nach der Personalaufstellung durch die bereits gewährten Urlaubstage erfüllt. Frau Brandt bestätigt nicht die Erfüllung unbekannter weiterer Ansprüche. Die bislang verwendeten Geräte verbleiben für das anschließende Dienstverhältnis bei ihr. Ihre weitere Nutzung beruht ab dem 1. April auf dem neuen Dienstvertrag und nicht auf dem beendeten Arbeitsvertrag.</w:t>
      </w:r>
    </w:p>
    <w:p>
      <w:pPr>
        <w:pStyle w:val="Heading1"/>
      </w:pPr>
      <w:r>
        <w:t>4 Zeugnis und Unterlagen</w:t>
      </w:r>
    </w:p>
    <w:p>
      <w:r>
        <w:t>Die Gesellschaft stellt auf Wunsch ein qualifiziertes Zeugnis für die Tätigkeit als Finanzleiterin aus. Die gesetzlich erforderlichen Meldungen und Bescheinigungen werden erstellt. Diese Vereinbarung enthält keine verbindliche Festlegung der versicherungsrechtlichen Behandlung des anschließenden Rechtsverhältnisses.</w:t>
      </w:r>
    </w:p>
    <w:p>
      <w:pPr>
        <w:pStyle w:val="Heading1"/>
      </w:pPr>
      <w:r>
        <w:t>5 Abschluss</w:t>
      </w:r>
    </w:p>
    <w:p>
      <w:r>
        <w:t>Die Parteien haben den Text vor Unterzeichnung erhalten und besprochen. Weitere Abreden zur Beendigung bestehen nicht. Die Unterzeichnung erfolgt eigenhändig in zwei gleichlautenden Ausfertigungen.</w:t>
      </w:r>
    </w:p>
    <w:p>
      <w:r>
        <w:t>Hannover, 20. März 2026</w:t>
        <w:br/>
        <w:t>Lennart Volkmann für die Gesellschaft</w:t>
        <w:br/>
        <w:t>Dr. Elif Brandt</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Leinefaden Systeme AG und Dr. Elif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die Beendigung des Arbeitsverhältnisses</dc:title>
  <dc:subject/>
  <dc:creator>Leinefaden Systeme AG und Dr. Elif Brandt</dc:creator>
  <cp:keywords/>
  <dc:description>generated by python-docx</dc:description>
  <cp:lastModifiedBy/>
  <cp:revision>1</cp:revision>
  <dcterms:created xsi:type="dcterms:W3CDTF">2013-12-23T23:15:00Z</dcterms:created>
  <dcterms:modified xsi:type="dcterms:W3CDTF">2013-12-23T23:15:00Z</dcterms:modified>
  <cp:category/>
</cp:coreProperties>
</file>