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Zustimmung zu den angezeigten Nebentätigkeiten</w:t>
      </w:r>
    </w:p>
    <w:p>
      <w:r>
        <w:t>22. März 2026</w:t>
        <w:br/>
        <w:t>Dr. Elif Brandt</w:t>
      </w:r>
    </w:p>
    <w:p>
      <w:pPr>
        <w:pStyle w:val="Heading1"/>
      </w:pPr>
      <w:r>
        <w:t>1 Beschlussgegenstand</w:t>
      </w:r>
    </w:p>
    <w:p>
      <w:r>
        <w:t>Der Aufsichtsrat hat die von Frau Dr. Elif Brandt angezeigten Tätigkeiten bei der Havelstrom Speicher AG und der Mohnwinkel Service GmbH beraten. Frau Brandt hat die wesentlichen Vertragsunterlagen vorgelegt und erklärt, dass sie keine Anteile an diesen Gesellschaften hält. Die Zustimmung wird einstimmig unter den nachfolgenden Bedingungen erteilt.</w:t>
      </w:r>
    </w:p>
    <w:p>
      <w:pPr>
        <w:pStyle w:val="Heading1"/>
      </w:pPr>
      <w:r>
        <w:t>2 Aufsichtsratsmandat</w:t>
      </w:r>
    </w:p>
    <w:p>
      <w:r>
        <w:t>Die Übernahme des Aufsichtsratsmandats bei der Havelstrom Speicher AG wird gestattet. Frau Brandt informiert die Vorsitzende über absehbare Interessenkonflikte zwischen den Gesellschaften. Bei solchen Konflikten werden die erforderlichen Vorkehrungen für Teilnahme, Information und Abstimmung im konkreten Fall festgelegt. Eine Verpflichtung, operative Leistungen für Havelstrom zu erbringen, wird durch diese Zustimmung nicht begründet.</w:t>
      </w:r>
    </w:p>
    <w:p>
      <w:pPr>
        <w:pStyle w:val="Heading1"/>
      </w:pPr>
      <w:r>
        <w:t>3 Beratungsprojekt</w:t>
      </w:r>
    </w:p>
    <w:p>
      <w:r>
        <w:t>Das Projekt zur Lieferantenbewertung bei Mohnwinkel wird für den Zeitraum April bis September 2026 gestattet. Der vorgesehene Umfang beträgt höchstens 16 Beratungstage. Die Leistung wird von Frau Brandt unmittelbar gegenüber Mohnwinkel erbracht und abgerechnet. Die Leinefaden Systeme AG schuldet aus diesem Projekt keine Vergütung und übernimmt keine Gewähr für dessen wirtschaftlichen Erfolg.</w:t>
      </w:r>
    </w:p>
    <w:p>
      <w:pPr>
        <w:pStyle w:val="Heading1"/>
      </w:pPr>
      <w:r>
        <w:t>4 Wahrung der Vorstandspflichten</w:t>
      </w:r>
    </w:p>
    <w:p>
      <w:r>
        <w:t>Die Nebentätigkeiten dürfen die Erfüllung der Vorstandspflichten nicht beeinträchtigen. Eine wesentliche Ausweitung des Projekts oder eine dauerhafte Eingliederung in eine zusätzliche Funktion ist erneut anzuzeigen. Der Aufsichtsrat behält sich vor, bei einem konkret nachgewiesenen Konflikt eine Anpassung zu verlangen. Eine Aussage zur versicherungsrechtlichen Einordnung der zusätzlichen Tätigkeiten wird nicht getroffen.</w:t>
      </w:r>
    </w:p>
    <w:p>
      <w:r>
        <w:t>Hannover, 22. März 2026</w:t>
        <w:br/>
        <w:t>Ottilie Rabenau, Vorsitzende des Aufsichtsrats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Aufsichtsrat der Leinefaden Systeme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Zustimmung zu den angezeigten Nebentätigkeiten</dc:title>
  <dc:subject/>
  <dc:creator>Aufsichtsrat der Leinefaden Systeme AG</dc:creator>
  <cp:keywords/>
  <dc:description>generated by python-docx</dc:description>
  <cp:lastModifiedBy/>
  <cp:revision>1</cp:revision>
  <dcterms:created xsi:type="dcterms:W3CDTF">2013-12-23T23:15:00Z</dcterms:created>
  <dcterms:modified xsi:type="dcterms:W3CDTF">2013-12-23T23:15:00Z</dcterms:modified>
  <cp:category/>
</cp:coreProperties>
</file>