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Erläuterung zur korrigierten Terminübersicht</w:t>
      </w:r>
    </w:p>
    <w:p>
      <w:r>
        <w:t>29. September 2026</w:t>
        <w:br/>
        <w:t>Mohnwinkel Service GmbH und eigene Unterlagen</w:t>
      </w:r>
    </w:p>
    <w:p>
      <w:pPr>
        <w:pStyle w:val="Heading1"/>
      </w:pPr>
      <w:r>
        <w:t>1 Korrektur</w:t>
      </w:r>
    </w:p>
    <w:p>
      <w:r>
        <w:t>In meiner ersten Terminübersicht war die Aufsichtsratssitzung der Havelstrom Speicher AG vom 15. Juni versehentlich der Farbe des Mohnwinkelprojekts zugeordnet. Die Zeit wurde in der Rechnungsaufstellung vor Versand der Junirechnung entfernt. Die Rechnung vom 30. Juni über 3,5 Tage enthält die Sitzung nicht. Der Hinweis in Ihrer Nachricht auf einen Julitermin beruht vermutlich auf dem Datum des ersten Excelexports vom 2. Juli.</w:t>
      </w:r>
    </w:p>
    <w:p>
      <w:pPr>
        <w:pStyle w:val="Heading1"/>
      </w:pPr>
      <w:r>
        <w:t>2 Abgrenzung der Aufzeichnungen</w:t>
      </w:r>
    </w:p>
    <w:p>
      <w:r>
        <w:t>Die Datei enthält Kalendertermine aller drei Tätigkeiten, weil ich meine zeitliche Verfügbarkeit insgesamt planen muss. Ein Kalendereintrag bedeutet nicht automatisch abrechenbare Beratungszeit. In der Rechnungsliste stehen nur die von mir für Mohnwinkel erbrachten und nach dem Vertrag berechneten Leistungen. Die Vorstandsvergütung wird monatlich von Leinefaden abgerechnet. Die Aufsichtsratsvergütung wird hiervon unabhängig von Havelstrom geführt.</w:t>
      </w:r>
    </w:p>
    <w:p>
      <w:pPr>
        <w:pStyle w:val="Heading1"/>
      </w:pPr>
      <w:r>
        <w:t>3 Umfang der Beratung</w:t>
      </w:r>
    </w:p>
    <w:p>
      <w:r>
        <w:t>Bis Ende August wurden 14,5 Beratungstage erfasst. Im September kamen insgesamt 1,5 Tage für Abstimmung, Endfassung und Übergabe hinzu. Das vereinbarte Kontingent von 16 Tagen ist damit verbraucht. Nicht erfasste kurze Terminabsprachen wurden nicht nachträglich pauschal aufgeschlagen. Einen weiteren Auftrag über laufende Einkaufsleitung habe ich nicht angenommen.</w:t>
      </w:r>
    </w:p>
    <w:p>
      <w:pPr>
        <w:pStyle w:val="Heading1"/>
      </w:pPr>
      <w:r>
        <w:t>4 Ablage</w:t>
      </w:r>
    </w:p>
    <w:p>
      <w:r>
        <w:t>Bitte bewahren Sie die erste und die korrigierte Übersicht gemeinsam auf. Der erste Export lässt sich dadurch anhand dieser Erklärung nachvollziehen. Die tatsächlichen Rechnungsbeträge werden durch die Korrektur nicht geändert. Die abschließende Septemberrechnung wird nach Übergabe des Berichts erstellt.</w:t>
      </w:r>
    </w:p>
    <w:p>
      <w:r>
        <w:t>Dr. Elif Brandt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Dr. Elif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Erläuterung zur korrigierten Terminübersicht</dc:title>
  <dc:subject/>
  <dc:creator>Dr. Elif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