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Fadenwerk Sensorik GmbH</w:t>
        <w:br/>
        <w:t>Futterstraße 17, 99084 Erfurt</w:t>
      </w:r>
    </w:p>
    <w:p>
      <w:pPr>
        <w:pStyle w:val="Title"/>
      </w:pPr>
      <w:r>
        <w:t>Gesellschaftsvertrag</w:t>
      </w:r>
    </w:p>
    <w:p>
      <w:r>
        <w:t>Fassung vom 06.05.2019; in der Gesellschaftsakte abgelegte Abschrift der Gründungsurkunde.</w:t>
      </w:r>
    </w:p>
    <w:p>
      <w:pPr>
        <w:pStyle w:val="Heading1"/>
      </w:pPr>
      <w:r>
        <w:t>1 Firma und Sitz</w:t>
      </w:r>
    </w:p>
    <w:p>
      <w:r>
        <w:t>Die Gesellschaft führt die Firma Fadenwerk Sensorik GmbH. Ihr Sitz ist Erfurt. Die Geschäftsanschrift wird von der Geschäftsführung zum Handelsregister angemeldet. Eine Änderung der inländischen Geschäftsanschrift innerhalb des Sitzorts ändert den satzungsmäßigen Sitz nicht.</w:t>
      </w:r>
    </w:p>
    <w:p>
      <w:pPr>
        <w:pStyle w:val="Heading1"/>
      </w:pPr>
      <w:r>
        <w:t>2 Gegenstand</w:t>
      </w:r>
    </w:p>
    <w:p>
      <w:r>
        <w:t>Gegenstand des Unternehmens ist die Entwicklung, Herstellung und Wartung von Sensorsystemen für die Überwachung von Lager- und Produktionsräumen. Die Gesellschaft darf alle Geschäfte betreiben, die diesem Gegenstand dienen, Zweigniederlassungen im Inland errichten und Beteiligungen an anderen Unternehmen eingehen. Tätigkeiten, die einer besonderen behördlichen Erlaubnis bedürfen, werden erst nach deren Erteilung aufgenommen.</w:t>
      </w:r>
    </w:p>
    <w:p>
      <w:pPr>
        <w:pStyle w:val="Heading1"/>
      </w:pPr>
      <w:r>
        <w:t>3 Stammkapital und Geschäftsanteile</w:t>
      </w:r>
    </w:p>
    <w:p>
      <w:r>
        <w:t>Das Stammkapital beträgt 50.000 Euro.</w:t>
      </w:r>
    </w:p>
    <w:p>
      <w:r>
        <w:t>Leander Vogt übernimmt einen Geschäftsanteil im Nennbetrag von 25.000 Euro; Adelheid Rink übernimmt einen Geschäftsanteil im Nennbetrag von 25.000 Euro.</w:t>
      </w:r>
    </w:p>
    <w:p>
      <w:r>
        <w:t>Die Einlagen sind in Geld zu leisten. Sie sind vor der Anmeldung vollständig auf das Geschäftskonto einzuzahlen. Eine Verpflichtung zu Nachschüssen besteht nicht. Zusätzliche Leistungen der Gesellschafter bedürfen einer gesonderten Vereinbarung.</w:t>
      </w:r>
    </w:p>
    <w:p>
      <w:pPr>
        <w:pStyle w:val="Heading1"/>
      </w:pPr>
      <w:r>
        <w:t>4 Dauer und Geschäftsjahr</w:t>
      </w:r>
    </w:p>
    <w:p>
      <w:r>
        <w:t>Die Gesellschaft besteht auf unbestimmte Zeit. Das Geschäftsjahr ist das Kalenderjahr. Das erste Geschäftsjahr beginnt mit der Eintragung und endet am darauf folgenden 31. Dezember.</w:t>
      </w:r>
    </w:p>
    <w:p>
      <w:pPr>
        <w:pStyle w:val="Heading1"/>
      </w:pPr>
      <w:r>
        <w:t>5 Geschäftsführung</w:t>
      </w:r>
    </w:p>
    <w:p>
      <w:r>
        <w:t>Die Gesellschaft hat einen oder mehrere Geschäftsführer. Die Gesellschafterversammlung bestellt sie, beruft sie ab und entscheidet über ihre Anstellungsverträge. Die Geschäftsführer führen die Geschäfte nach Gesetz, Gesellschaftsvertrag und wirksamen Beschlüssen der Gesellschafterversammlung. Eine Ressortverteilung berührt die Gesamtverantwortung nicht.</w:t>
      </w:r>
    </w:p>
    <w:p>
      <w:r>
        <w:t>Die Gesellschafterversammlung kann eine Geschäftsordnung erlassen. Die Geschäftsführung hat ihr mindestens vierteljährlich über Umsatz, Liquidität, Personal und wesentliche Vertragsrisiken zu berichten. Erkennbare Zahlungsstockungen und außergewöhnliche Schadensfälle sind unverzüglich mitzuteilen.</w:t>
      </w:r>
    </w:p>
    <w:p>
      <w:pPr>
        <w:pStyle w:val="Heading1"/>
      </w:pPr>
      <w:r>
        <w:t>6 Vertretung</w:t>
      </w:r>
    </w:p>
    <w:p>
      <w:r>
        <w:t>Ist nur ein Geschäftsführer bestellt, vertritt er die Gesellschaft allein. Sind mehrere Geschäftsführer bestellt, wird sie durch zwei Geschäftsführer gemeinschaftlich oder durch einen Geschäftsführer zusammen mit einem Prokuristen vertreten. Die Gesellschafterversammlung kann einzelnen Geschäftsführern Einzelvertretungsbefugnis erteilen und sie von den Beschränkungen des Paragraf 181 BGB befreien. Beschränkungen im Innenverhältnis berühren die Vertretungsmacht im Außenverhältnis nach Maßgabe des Gesetzes nicht.</w:t>
      </w:r>
    </w:p>
    <w:p>
      <w:pPr>
        <w:pStyle w:val="Heading1"/>
      </w:pPr>
      <w:r>
        <w:t>7 Gesellschafterbeschlüsse</w:t>
      </w:r>
    </w:p>
    <w:p>
      <w:r>
        <w:t>7.1 Jeder Euro eines Geschäftsanteils gewährt eine Stimme. Beschlüsse werden mit der einfachen Mehrheit der abgegebenen gültigen Stimmen gefasst, soweit zwingendes Recht keine größere Mehrheit verlangt. Bei Stimmengleichheit ist der Antrag abgelehnt. Die Person, die die Versammlung leitet, hat weder eine zusätzliche Stimme noch ein Recht zum Stichentscheid.</w:t>
      </w:r>
    </w:p>
    <w:p>
      <w:r>
        <w:t>7.2 Für Satzungsänderungen gelten die gesetzlich vorgeschriebenen Mehrheiten. Die Feststellung des Jahresabschlusses, die Ergebnisverwendung und die Erteilung von Weisungen richten sich nach Nummer 7.1. Gesetzliche Stimmverbote bleiben unberührt. Es gibt keinen Beirat und kein anderes Organ, das anstelle der Gesellschafter über einen wegen Stimmengleichheit gescheiterten Antrag entscheidet. Die Gesellschafter können einvernehmlich eine Beratung oder Mediation vereinbaren. Ein dabei unterbreiteter Vorschlag wird erst durch einen nach dieser Satzung wirksam gefassten Gesellschafterbeschluss verbindlich.</w:t>
      </w:r>
    </w:p>
    <w:p>
      <w:r>
        <w:t>7.3 Beschlüsse werden in Versammlungen gefasst. Außerhalb einer Versammlung können sie schriftlich oder durch elektronische Textnachrichten gefasst werden, wenn sämtliche Gesellschafter dieser Form für den konkreten Gegenstand zustimmen. Die Erklärung jedes Gesellschafters ist aufzubewahren. Das Schweigen auf eine Beschlussvorlage gilt nicht als Zustimmung.</w:t>
      </w:r>
    </w:p>
    <w:p>
      <w:pPr>
        <w:pStyle w:val="Heading1"/>
      </w:pPr>
      <w:r>
        <w:t>8 Einberufung und Protokoll</w:t>
      </w:r>
    </w:p>
    <w:p>
      <w:r>
        <w:t>Jeder Geschäftsführer darf eine Gesellschafterversammlung mit einer Frist von zwei Wochen in Textform unter Mitteilung der Tagesordnung einberufen. Die Frist beginnt am Tag nach Absendung. Alle Gesellschafter können einvernehmlich auf Form und Frist verzichten. Die Versammlung wählt für jede Sitzung eine Leitung und eine Protokollführung.</w:t>
      </w:r>
    </w:p>
    <w:p>
      <w:r>
        <w:t>Die Versammlung ist beschlussfähig, wenn mehr als die Hälfte des Stammkapitals vertreten ist. Ist dies nicht der Fall, darf eine neue Versammlung mit gleicher Tagesordnung einberufen werden; auch diese ist nur bei Vertretung von mehr als der Hälfte des Stammkapitals beschlussfähig. Beschlüsse und Abstimmungsergebnisse sind mit Namen, Stimmen und Gegenstand zu protokollieren. Jeder Gesellschafter erhält binnen zehn Tagen eine Abschrift.</w:t>
      </w:r>
    </w:p>
    <w:p>
      <w:pPr>
        <w:pStyle w:val="Heading1"/>
      </w:pPr>
      <w:r>
        <w:t>9 Jahresabschluss und Ergebnis</w:t>
      </w:r>
    </w:p>
    <w:p>
      <w:r>
        <w:t>Die Geschäftsführung stellt den Jahresabschluss innerhalb der gesetzlichen Fristen auf und legt ihn den Gesellschaftern mit einem Vorschlag zur Ergebnisverwendung vor. Gewinn wird entsprechend den Nennbeträgen der Geschäftsanteile verteilt, soweit die Gesellschafter nicht im rechtlich zulässigen Umfang anderes beschließen. Ausschüttungen dürfen nicht gegen die Kapitalerhaltungsvorschriften verstoßen. Vor Feststellung und Ausschüttungsbeschluss besteht kein Anspruch auf Auszahlung eines bestimmten Gewinnbetrags.</w:t>
      </w:r>
    </w:p>
    <w:p>
      <w:pPr>
        <w:pStyle w:val="Heading1"/>
      </w:pPr>
      <w:r>
        <w:t>10 Verfügung über Anteile</w:t>
      </w:r>
    </w:p>
    <w:p>
      <w:r>
        <w:t>Die Abtretung oder Verpfändung von Geschäftsanteilen bedarf der Zustimmung aller übrigen Gesellschafter. Gesetzliche Formerfordernisse bleiben unberührt. Ein Gesellschafter, der seinen Anteil verkaufen will, bietet ihn zuerst den Mitgesellschaftern zu den Bedingungen des ernsthaften Kaufangebots an. Die Annahmefrist beträgt einen Monat ab Zugang sämtlicher Bedingungen. Kommt ein Erwerb nicht zustande, bleibt das Zustimmungserfordernis bestehen.</w:t>
      </w:r>
    </w:p>
    <w:p>
      <w:pPr>
        <w:pStyle w:val="Heading1"/>
      </w:pPr>
      <w:r>
        <w:t>11 Ausscheiden und Einziehung</w:t>
      </w:r>
    </w:p>
    <w:p>
      <w:r>
        <w:t>Eine Einziehung ist mit Zustimmung des betroffenen Gesellschafters zulässig. Ohne Zustimmung ist sie zulässig, wenn über sein Vermögen rechtskräftig das Insolvenzverfahren eröffnet wird oder ein Geschäftsanteil seit mehr als drei Monaten gepfändet ist und die Vollstreckungsmaßnahme nicht aufgehoben wird. Der Betroffene hat bei diesem Beschluss kein Stimmrecht. Anstelle der Einziehung kann eine Abtretung an einen Erwerber verlangt werden.</w:t>
      </w:r>
    </w:p>
    <w:p>
      <w:r>
        <w:t>Die Abfindung entspricht dem Verkehrswert des Anteils am Tag des wirksamen Ausscheidens. Bei Streit bestimmt ein gemeinsam zu beauftragender unabhängiger Wirtschaftsprüfer den Wert; über seine Person muss Einvernehmen bestehen. Kommt dieses nicht binnen sechs Wochen zustande, bleiben die gesetzlichen Rechtsschutzmöglichkeiten unberührt. Die Gesellschaft zahlt die Abfindung in vier gleichen halbjährlichen Raten; die erste wird sechs Monate nach Feststellung des Werts fällig. Zwingende Kapitalerhaltung geht vor.</w:t>
      </w:r>
    </w:p>
    <w:p>
      <w:pPr>
        <w:pStyle w:val="Heading1"/>
      </w:pPr>
      <w:r>
        <w:t>12 Bekanntmachungen und Schlussbestimmungen</w:t>
      </w:r>
    </w:p>
    <w:p>
      <w:r>
        <w:t>Bekanntmachungen erfolgen nur in den gesetzlich vorgeschriebenen Medien. Änderungen dieses Gesellschaftsvertrags bedürfen der gesetzlichen Form und Eintragung. Die Gründungskosten trägt die Gesellschaft bis zu einem Gesamtbetrag von 2.500 Euro; darüber hinaus tragen sie die Gründer im Verhältnis ihrer Anteile. Die Unwirksamkeit einer Bestimmung lässt die übrigen Bestimmungen unberührt, soweit das Festhalten am Vertrag rechtlich zulässig und zumutbar ist.</w:t>
      </w:r>
    </w:p>
    <w:p>
      <w:r>
        <w:t>Erfurt, 06.05.2019</w:t>
        <w:br/>
        <w:t>gez. Leander Vogt</w:t>
        <w:br/>
        <w:t>gez. Adelheid Rink</w:t>
      </w:r>
    </w:p>
    <w:sectPr w:rsidR="00FC693F" w:rsidRPr="0006063C" w:rsidSect="00034616">
      <w:footerReference w:type="default" r:id="rId9"/>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Gesellschaftsvertrag</dc:title>
  <dc:subject>Fassung vom 06.05.2019; in der Gesellschaftsakte abgelegte Abschrift der Gründungsurkunde.</dc:subject>
  <dc:creator>Fadenwerk Sensorik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