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Fadenwerk Sensorik GmbH</w:t>
        <w:br/>
        <w:t>Futterstraße 17, 99084 Erfurt</w:t>
      </w:r>
    </w:p>
    <w:p>
      <w:pPr>
        <w:pStyle w:val="Title"/>
      </w:pPr>
      <w:r>
        <w:t>Vereinbarung der Gesellschafter</w:t>
      </w:r>
    </w:p>
    <w:p>
      <w:r>
        <w:t>Unterzeichnet am 01.03.2022</w:t>
      </w:r>
    </w:p>
    <w:p>
      <w:pPr>
        <w:pStyle w:val="Heading1"/>
      </w:pPr>
      <w:r>
        <w:t>1 Beteiligte und Zweck</w:t>
      </w:r>
    </w:p>
    <w:p>
      <w:r>
        <w:t>Leander Vogt, Adelheid Rink schließen diese Vereinbarung als Gesellschafter der Fadenwerk Sensorik GmbH. Sie wollen die Zusammenarbeit und die Vorbereitung von Entscheidungen ordnen. Die Gesellschaft ist nicht Partei dieser Vereinbarung. Der Gesellschaftsvertrag wird durch diese Urkunde nicht geändert.</w:t>
      </w:r>
    </w:p>
    <w:p>
      <w:pPr>
        <w:pStyle w:val="Heading1"/>
      </w:pPr>
      <w:r>
        <w:t>2 Information</w:t>
      </w:r>
    </w:p>
    <w:p>
      <w:r>
        <w:t>Die Beteiligten stellen einander die ihnen zugänglichen Monatsberichte und Unterlagen rechtzeitig vor einer Abstimmung bereit. Angebote von Erwerbern für Geschäftsanteile werden binnen fünf Werktagen vollständig weitergeleitet. Bestehende Verschwiegenheitspflichten gegenüber Dritten sind zu beachten; notwendige Freigaben werden eingeholt.</w:t>
      </w:r>
    </w:p>
    <w:p>
      <w:pPr>
        <w:pStyle w:val="Heading1"/>
      </w:pPr>
      <w:r>
        <w:t>3 Vorgehen bei Uneinigkeit</w:t>
      </w:r>
    </w:p>
    <w:p>
      <w:r>
        <w:t>Besteht bei einer betrieblichen Planung Uneinigkeit, wird zunächst eine zweite Besprechung innerhalb von zehn Werktagen durchgeführt. Bleibt diese ohne Ergebnis, kann ein gemeinsam ausgewählter externer Moderator einen schriftlichen Einigungsvorschlag vorlegen. Keine Partei muss den Vorschlag annehmen. Der Moderator ist weder Schiedsrichter noch Organ der Gesellschaft und darf keinen Gesellschafterbeschluss ersetzen.</w:t>
      </w:r>
    </w:p>
    <w:p>
      <w:r>
        <w:t>Die Parteien halten ausdrücklich fest, dass ein Antrag bei Stimmengleichheit entsprechend der Satzung abgelehnt ist. Die Abstimmung darf nach einer Beratung erneut stattfinden. Eine Stimmbindung, unwiderrufliche Vollmacht oder Änderung der Stimmenverteilung wird nicht vereinbart.</w:t>
      </w:r>
    </w:p>
    <w:p>
      <w:pPr>
        <w:pStyle w:val="Heading1"/>
      </w:pPr>
      <w:r>
        <w:t>4 Vertraulichkeit und Kosten</w:t>
      </w:r>
    </w:p>
    <w:p>
      <w:r>
        <w:t>Der Moderator wird nur nach gemeinsamer Beauftragung tätig. Die Vertragspartner tragen seine Kosten je zur Hälfte, soweit sie nicht durch wirksamen Gesellschafterbeschluss eine Übernahme durch die Gesellschaft vereinbaren. Er erhält nur die zur Beratung erforderlichen Informationen und muss sich schriftlich zur Vertraulichkeit verpflichten.</w:t>
      </w:r>
    </w:p>
    <w:p>
      <w:pPr>
        <w:pStyle w:val="Heading1"/>
      </w:pPr>
      <w:r>
        <w:t>5 Laufzeit</w:t>
      </w:r>
    </w:p>
    <w:p>
      <w:r>
        <w:t>Die Vereinbarung beginnt am 01.03.2022. Jeder Beteiligte kann sie mit einem Monat Frist schriftlich kündigen. Bereits vereinbarte Moderationstermine können einvernehmlich aufgehoben werden. Eine Kündigung verändert weder die Geschäftsanteile noch die Satzung oder die Organbestellung.</w:t>
      </w:r>
    </w:p>
    <w:p>
      <w:pPr>
        <w:pStyle w:val="Heading1"/>
      </w:pPr>
      <w:r>
        <w:t>6 Schlussbestimmungen</w:t>
      </w:r>
    </w:p>
    <w:p>
      <w:r>
        <w:t>Änderungen bedürfen der schriftlichen Zustimmung aller Vertragsparteien. Zwingende gesetzliche Formvorschriften bleiben unberührt. Für Streitigkeiten aus dieser Vereinbarung gelten die gesetzlichen Zuständigkeitsregeln. Die Parteien erhalten je eine unterzeichnete Ausfertigung.</w:t>
      </w:r>
    </w:p>
    <w:p>
      <w:r>
        <w:t>gez. Leander Vogt</w:t>
        <w:br/>
        <w:t>gez. Adelheid Rink</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der Gesellschafter</dc:title>
  <dc:subject>Unterzeichnet am 01.03.2022</dc:subject>
  <dc:creator>Fadenwerk Sensorik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