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Fadenwerk Sensorik GmbH</w:t>
        <w:br/>
        <w:t>Futterstraße 17, 99084 Erfurt</w:t>
      </w:r>
    </w:p>
    <w:p>
      <w:pPr>
        <w:pStyle w:val="Title"/>
      </w:pPr>
      <w:r>
        <w:t>Geschäftsordnung</w:t>
      </w:r>
    </w:p>
    <w:p>
      <w:r>
        <w:t>Beschlossen am 06.05.2019</w:t>
      </w:r>
    </w:p>
    <w:p>
      <w:pPr>
        <w:pStyle w:val="Heading1"/>
      </w:pPr>
      <w:r>
        <w:t>1 Laufende Aufgaben</w:t>
      </w:r>
    </w:p>
    <w:p>
      <w:r>
        <w:t>Leander Vogt verantwortet Produkt und Kundenprojekte. Adelheid Rink verantwortet Finanzen und Einkauf. Beide Geschäftsführer bleiben für die gesetzlichen Pflichten verantwortlich.</w:t>
      </w:r>
    </w:p>
    <w:p>
      <w:pPr>
        <w:pStyle w:val="Heading1"/>
      </w:pPr>
      <w:r>
        <w:t>2 Zeichnung und Beschaffung</w:t>
      </w:r>
    </w:p>
    <w:p>
      <w:r>
        <w:t>Ausgaben bis 8.000 Euro innerhalb des genehmigten Budgets darf die zuständige Geschäftsführung selbst freigeben. Darüber hinaus sind vor Bindung der Gesellschaft die Gesellschafter zu informieren und ein Beschluss herbeizuführen. Notwendige Sofortmaßnahmen zur Abwehr unmittelbar drohender Schäden sind zulässig; Anlass, Betrag und Alternativen sind am nächsten Werktag schriftlich mitzuteilen.</w:t>
      </w:r>
    </w:p>
    <w:p>
      <w:pPr>
        <w:pStyle w:val="Heading1"/>
      </w:pPr>
      <w:r>
        <w:t>3 Personal</w:t>
      </w:r>
    </w:p>
    <w:p>
      <w:r>
        <w:t>Die Geschäftsführung führt Bewerbungsgespräche und bereitet Arbeitsverträge vor. Neue dauerhafte Stellen außerhalb des genehmigten Personalplans benötigen einen Gesellschafterbeschluss. Die Festlegung täglicher Aufgaben der Beschäftigten bleibt Sache der Geschäftsführung.</w:t>
      </w:r>
    </w:p>
    <w:p>
      <w:pPr>
        <w:pStyle w:val="Heading1"/>
      </w:pPr>
      <w:r>
        <w:t>4 Bericht und Zugang</w:t>
      </w:r>
    </w:p>
    <w:p>
      <w:r>
        <w:t>Monatsberichte werden allen Gesellschaftern gleichzeitig zugänglich gemacht. Bankbewegungen werden mit Belegen in der Buchhaltung abgelegt. Die Geschäftsordnung kann im Rahmen der Satzung durch Gesellschafterbeschluss geändert werden. Sie ändert die Stimmrechte und Mehrheiten des Gesellschaftsvertrags nicht.</w:t>
      </w:r>
    </w:p>
    <w:p>
      <w:r>
        <w:t>gez. Leander Vogt</w:t>
        <w:br/>
        <w:t>gez. Adelheid Rink</w:t>
      </w:r>
    </w:p>
    <w:sectPr w:rsidR="00FC693F" w:rsidRPr="0006063C" w:rsidSect="00034616">
      <w:footerReference w:type="default" r:id="rId9"/>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imes New Roman" w:hAnsi="Times New Roman" w:eastAsia="Times New Roman" w:cs="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Geschäftsordnung</dc:title>
  <dc:subject>Beschlossen am 06.05.2019</dc:subject>
  <dc:creator>Fadenwerk Sensorik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