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Kranichspur Prozessdesign GmbH</w:t>
        <w:br/>
        <w:t>Reichenberger Straße 118, 10999 Berlin</w:t>
      </w:r>
    </w:p>
    <w:p>
      <w:pPr>
        <w:pStyle w:val="Title"/>
      </w:pPr>
      <w:r>
        <w:t>Anstellungsvertrag für die Geschäftsführung</w:t>
      </w:r>
    </w:p>
    <w:p>
      <w:r>
        <w:t>Vertrag vom 15.03.2024 zwischen Kranichspur Prozessdesign GmbH, Reichenberger Straße 118, 10999 Berlin, eingetragen bei dem Amtsgericht Charlottenburg unter HRB 289641 B, vertreten durch Wendelin Rapp, und Mila Degenhardt, wohnhaft in Berlin.</w:t>
      </w:r>
    </w:p>
    <w:p>
      <w:pPr>
        <w:pStyle w:val="Heading1"/>
      </w:pPr>
      <w:r>
        <w:t>1 Aufgabe und Beginn</w:t>
      </w:r>
    </w:p>
    <w:p>
      <w:r>
        <w:t>Mila Degenhardt übernimmt ab 01.04.2024 die hauptberufliche Geschäftsführung. Sie umfasst die Produktentwicklung, Kundenbetreuung, Personalplanung und laufende kaufmännische Organisation. Die gesetzlichen Pflichten aller Geschäftsführer bleiben unberührt. Die Gesellschaft stellt Büro, Rechner, Telefon und die erforderlichen Zugänge bereit.</w:t>
      </w:r>
    </w:p>
    <w:p>
      <w:pPr>
        <w:pStyle w:val="Heading1"/>
      </w:pPr>
      <w:r>
        <w:t>2 Ausübung der Tätigkeit</w:t>
      </w:r>
    </w:p>
    <w:p>
      <w:r>
        <w:t>Die Geschäftsführung erfolgt nach Gesetz, Satzung, wirksamen Gesellschafterbeschlüssen und der jeweils geltenden Geschäftsordnung. Innerhalb dieses Rahmens werden Ort, Reihenfolge und Zeitpunkt der Arbeit eigenverantwortlich bestimmt. Die Tätigkeit erfordert im Regelfall die Arbeitskraft an fünf Tagen pro Woche. Eine feste tägliche Anwesenheit wird nicht vereinbart; die Erreichbarkeit für wesentliche betriebliche Belange ist sicherzustellen.</w:t>
      </w:r>
    </w:p>
    <w:p>
      <w:r>
        <w:t>Die Geschäftsführung vertritt die Gesellschaft nach außen. Wesentliche Interessenkonflikte sind der Gesellschafterversammlung unverzüglich offenzulegen. Eine Übertragung des Organamts auf einen Dritten ist ausgeschlossen. Zur Erfüllung einzelner Aufgaben dürfen Beschäftigte oder genehmigte Dienstleister eingesetzt werden.</w:t>
      </w:r>
    </w:p>
    <w:p>
      <w:pPr>
        <w:pStyle w:val="Heading1"/>
      </w:pPr>
      <w:r>
        <w:t>3 Bericht und Freigaben</w:t>
      </w:r>
    </w:p>
    <w:p>
      <w:r>
        <w:t>Ein Monatsbericht über Liquidität, Auftragsstand und absehbare Risiken wird spätestens am zehnten Werktag des Folgemonats an alle Gesellschafter übersandt. Zustimmungspflichtige Geschäfte richten sich nach Satzung und Geschäftsordnung. Ein inhaltlicher Konflikt ist der Gesellschafterversammlung zur Entscheidung vorzulegen; bis dahin dürfen nur unaufschiebbare Maßnahmen zur Schadensabwendung getroffen werden.</w:t>
      </w:r>
    </w:p>
    <w:p>
      <w:pPr>
        <w:pStyle w:val="Heading1"/>
      </w:pPr>
      <w:r>
        <w:t>4 Vergütung</w:t>
      </w:r>
    </w:p>
    <w:p>
      <w:r>
        <w:t>Die Gesellschaft zahlt ein monatliches festes Bruttogehalt von 6.200 Euro; fällig am letzten Bankarbeitstag des Monats.</w:t>
      </w:r>
    </w:p>
    <w:p>
      <w:r>
        <w:t>Eine variable Vergütung entsteht nur durch gesonderten schriftlichen Beschluss über Höhe und Berechnungsgrundlage. Aus bisherigen Zahlungen ergibt sich kein Anspruch für künftige Geschäftsjahre. Private Aufwendungen werden nicht vergütet. Belegte notwendige Reisekosten werden nach der betrieblichen Reisekostenregelung erstattet.</w:t>
      </w:r>
    </w:p>
    <w:p>
      <w:r>
        <w:t>Die Gesellschaft behält gesetzlich abzuführende Steuern und Beiträge ein. Die Parteien treffen mit diesem Vertrag keine für Behörden verbindliche Festlegung des sozialversicherungsrechtlichen Status. Die Lohnstelle erhält die für ihre Abrechnung erforderlichen Angaben.</w:t>
      </w:r>
    </w:p>
    <w:p>
      <w:pPr>
        <w:pStyle w:val="Heading1"/>
      </w:pPr>
      <w:r>
        <w:t>5 Verhinderung und Erholung</w:t>
      </w:r>
    </w:p>
    <w:p>
      <w:r>
        <w:t>Bei krankheitsbedingter Arbeitsunfähigkeit wird das feste Gehalt für sechs Wochen fortgezahlt. Die Verhinderung und ihre voraussichtliche Dauer sind unverzüglich mitzuteilen. Eine ärztliche Bescheinigung ist spätestens ab dem vierten Kalendertag vorzulegen. Der jährliche Erholungsanspruch beträgt 28 Arbeitstage bei einer Fünftagewoche. Termine werden so geplant, dass dringende Geschäftsführungsaufgaben wahrgenommen werden können; die Mitgeschäftsführung beziehungsweise die Gesellschafter werden rechtzeitig informiert.</w:t>
      </w:r>
    </w:p>
    <w:p>
      <w:pPr>
        <w:pStyle w:val="Heading1"/>
      </w:pPr>
      <w:r>
        <w:t>6 Nebentätigkeit und Wettbewerb</w:t>
      </w:r>
    </w:p>
    <w:p>
      <w:r>
        <w:t>Eine entgeltliche Nebentätigkeit, die Umfang oder Interessen der Gesellschaft berührt, ist der Gesellschafterversammlung vor Aufnahme offenzulegen und bedarf ihrer schriftlichen Zustimmung. Während der Vertragsdauer ist eine konkurrierende Tätigkeit ohne Zustimmung untersagt. Eine nachvertragliche Wettbewerbsbeschränkung wird nicht vereinbart. Beteiligungen zu reinen Anlagezwecken ohne Einfluss auf die Geschäftsführung sind von der Anzeigepflicht ausgenommen.</w:t>
      </w:r>
    </w:p>
    <w:p>
      <w:pPr>
        <w:pStyle w:val="Heading1"/>
      </w:pPr>
      <w:r>
        <w:t>7 Vertraulichkeit und Arbeitsergebnisse</w:t>
      </w:r>
    </w:p>
    <w:p>
      <w:r>
        <w:t>Geschäftsgeheimnisse und personenbezogene Daten sind auch nach Vertragsende vertraulich zu behandeln. Gesetzliche Auskunfts- und Meldepflichten bleiben unberührt. Die im Rahmen der Tätigkeit für die Gesellschaft erstellten Programme, Dokumentationen und sonstigen schutzfähigen Ergebnisse dürfen von der Gesellschaft im rechtlich möglichen Umfang ausschließlich, zeitlich und räumlich unbeschränkt für ihre Geschäftszwecke genutzt und bearbeitet werden. Rechte an vorbestehenden privaten Arbeiten werden nur durch gesonderte Vereinbarung übertragen.</w:t>
      </w:r>
    </w:p>
    <w:p>
      <w:pPr>
        <w:pStyle w:val="Heading1"/>
      </w:pPr>
      <w:r>
        <w:t>8 Haftung und Versicherung</w:t>
      </w:r>
    </w:p>
    <w:p>
      <w:r>
        <w:t>Für die Organhaftung gelten die gesetzlichen Bestimmungen. Die Gesellschaft unterhält eine Vermögensschadenhaftpflichtversicherung für ihre Organe nach den jeweils vereinbarten Bedingungen. Ein Versicherungsschutz wird nur im Umfang dieser Bedingungen zugesagt; vorsätzliche Pflichtverletzungen werden nicht übernommen. Eine persönliche Bürgschaft oder Nachschusspflicht wird durch diesen Vertrag nicht begründet.</w:t>
      </w:r>
    </w:p>
    <w:p>
      <w:pPr>
        <w:pStyle w:val="Heading1"/>
      </w:pPr>
      <w:r>
        <w:t>9 Dauer und Beendigung</w:t>
      </w:r>
    </w:p>
    <w:p>
      <w:r>
        <w:t>Der Vertrag wird auf unbestimmte Zeit geschlossen. Er kann mit sechs Monaten Frist zum Ende eines Kalenderhalbjahres schriftlich gekündigt werden. Das Recht zur außerordentlichen Kündigung aus wichtigem Grund bleibt bestehen. Die Abberufung als Organ und die Beendigung des Anstellungsvertrags sind getrennte Vorgänge; eine Abberufung beendet diesen Vertrag nicht automatisch. Nach Ende der Tätigkeit sind Unterlagen, Geräte und Zugänge vollständig herauszugeben beziehungsweise zu übertragen.</w:t>
      </w:r>
    </w:p>
    <w:p>
      <w:pPr>
        <w:pStyle w:val="Heading1"/>
      </w:pPr>
      <w:r>
        <w:t>10 Änderungen und Schlussbestimmungen</w:t>
      </w:r>
    </w:p>
    <w:p>
      <w:r>
        <w:t>Änderungen dieses Vertrags bedürfen einer schriftlichen Vereinbarung. Individuelle Abreden bleiben im gesetzlich vorgesehenen Umfang wirksam. Ist eine Regelung unwirksam, gelten insoweit die gesetzlichen Bestimmungen; der übrige Vertrag bleibt bestehen, soweit dies zumutbar ist. Beide Parteien erhalten ein unterzeichnetes Exemplar.</w:t>
      </w:r>
    </w:p>
    <w:p>
      <w:r>
        <w:t>gez. Wendelin Rapp, für die Gesellschaft</w:t>
        <w:br/>
        <w:t>gez. Mila Degenhardt</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Anstellungsvertrag für die Geschäftsführung</dc:title>
  <dc:subject>Vertrag vom 15.03.2024 zwischen Kranichspur Prozessdesign GmbH, Reichenberger Straße 118, 10999 Berlin, eingetragen bei dem Amtsgericht Charlottenburg unter HRB 289641 B, vertreten durch Wendelin Rapp, und Mila Degenhardt, wohnhaft in Berlin.</dc:subject>
  <dc:creator>Kranichspur Prozessdesign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