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Vereinbarung der Gesellschafter</w:t>
      </w:r>
    </w:p>
    <w:p>
      <w:r>
        <w:t>Unterzeichnet am 01.04.2024</w:t>
      </w:r>
    </w:p>
    <w:p>
      <w:pPr>
        <w:pStyle w:val="Heading1"/>
      </w:pPr>
      <w:r>
        <w:t>1 Beteiligte und Zweck</w:t>
      </w:r>
    </w:p>
    <w:p>
      <w:r>
        <w:t>Mila Degenhardt, Wendelin Rapp und Oda Şahin schließen diese Vereinbarung als Gesellschafter der Kranichspur Prozessdesign GmbH. Sie wollen die Zusammenarbeit und die Vorbereitung von Entscheidungen ordnen. Die Gesellschaft ist nicht Partei dieser Vereinbarung. Der Gesellschaftsvertrag wird durch diese Urkunde nicht geändert.</w:t>
      </w:r>
    </w:p>
    <w:p>
      <w:pPr>
        <w:pStyle w:val="Heading1"/>
      </w:pPr>
      <w:r>
        <w:t>2 Information</w:t>
      </w:r>
    </w:p>
    <w:p>
      <w:r>
        <w:t>Die Beteiligten stellen einander die ihnen zugänglichen Monatsberichte und Unterlagen rechtzeitig vor einer Abstimmung bereit. Angebote von Erwerbern für Geschäftsanteile werden binnen fünf Werktagen vollständig weitergeleitet. Bestehende Verschwiegenheitspflichten gegenüber Dritten sind zu beachten; notwendige Freigaben werden eingeholt.</w:t>
      </w:r>
    </w:p>
    <w:p>
      <w:pPr>
        <w:pStyle w:val="Heading1"/>
      </w:pPr>
      <w:r>
        <w:t>3 Abstimmung über Produkt und Personal</w:t>
      </w:r>
    </w:p>
    <w:p>
      <w:r>
        <w:t>Oda Şahin verpflichtet sich gegenüber Mila Degenhardt, bei Beschlüssen über Produktstrategie und Personalplanung ihre Stimmen grundsätzlich entsprechend dem rechtzeitig in Textform mitgeteilten Vorschlag von Mila Degenhardt abzugeben. Eine Bindung besteht nicht, wenn ein Vorschlag gegen zwingendes Recht verstößt. Wendelin Rapp übernimmt keine Stimmbindung. Die Parteien gehen davon aus, dass die Gesellschafterversammlung die nach der Satzung erforderlichen Mehrheiten feststellen muss.</w:t>
      </w:r>
    </w:p>
    <w:p>
      <w:r>
        <w:t>Aus dieser Vereinbarung entsteht kein zusätzlicher Geschäftsanteil. Die Pflicht zur vereinbarten Stimmabgabe wird im Verhältnis der beteiligten Personen erfüllt. Die Vertragspartner informieren einander unverzüglich, wenn sie die geschuldete Erklärung nicht abgeben wollen.</w:t>
      </w:r>
    </w:p>
    <w:p>
      <w:pPr>
        <w:pStyle w:val="Heading1"/>
      </w:pPr>
      <w:r>
        <w:t>4 Angebot für weitere Anteile</w:t>
      </w:r>
    </w:p>
    <w:p>
      <w:r>
        <w:t>Oda Şahin sagt zu, mit Mila Degenhardt über die Veräußerung eines Teilgeschäftsanteils von 6.000 Euro zu verhandeln, sobald die Finanzierung des Kaufpreises nachgewiesen ist. Als Preisvorstellung werden 90.000 Euro genannt. Ein verbindliches notarielles Angebot und eine Abtretung werden durch dieses Schriftstück nicht erklärt. Jede Partei trägt ihre Beratungskosten selbst.</w:t>
      </w:r>
    </w:p>
    <w:p>
      <w:pPr>
        <w:pStyle w:val="Heading1"/>
      </w:pPr>
      <w:r>
        <w:t>5 Laufzeit</w:t>
      </w:r>
    </w:p>
    <w:p>
      <w:r>
        <w:t>Die Vereinbarung beginnt am 01.04.2024 und kann mit drei Monaten Frist zum Ende eines Kalenderjahres gekündigt werden. Das Recht zur Kündigung aus wichtigem Grund bleibt unberührt. Die Kündigung ist allen Vertragspartnern schriftlich zu erklären. Offene Auskunftspflichten aus vorangegangenen Vorgängen bleiben bestehen.</w:t>
      </w:r>
    </w:p>
    <w:p>
      <w:pPr>
        <w:pStyle w:val="Heading1"/>
      </w:pPr>
      <w:r>
        <w:t>6 Schlussbestimmungen</w:t>
      </w:r>
    </w:p>
    <w:p>
      <w:r>
        <w:t>Änderungen bedürfen der schriftlichen Zustimmung aller Vertragsparteien. Zwingende gesetzliche Formvorschriften bleiben unberührt. Für Streitigkeiten aus dieser Vereinbarung gelten die gesetzlichen Zuständigkeitsregeln. Die Parteien erhalten je eine unterzeichnete Ausfertigung.</w:t>
      </w:r>
    </w:p>
    <w:p>
      <w:r>
        <w:t>gez. Mila Degenhardt</w:t>
        <w:br/>
        <w:t>gez. Wendelin Rapp</w:t>
        <w:br/>
        <w:t>gez. Oda Şahin</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der Gesellschafter</dc:title>
  <dc:subject>Unterzeichnet am 01.04.2024</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