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Kranichspur Prozessdesign GmbH</w:t>
        <w:br/>
        <w:t>Reichenberger Straße 118, 10999 Berlin</w:t>
      </w:r>
    </w:p>
    <w:p>
      <w:pPr>
        <w:pStyle w:val="Title"/>
      </w:pPr>
      <w:r>
        <w:t>Entwurf einer Satzungsänderung</w:t>
      </w:r>
    </w:p>
    <w:p>
      <w:r>
        <w:t>Arbeitsfassung 16.09.2026; erstellt durch Wendelin Rapp. Nicht unterzeichnet.</w:t>
      </w:r>
    </w:p>
    <w:p>
      <w:pPr>
        <w:pStyle w:val="Heading1"/>
      </w:pPr>
      <w:r>
        <w:t>1 Vorgesehene Änderung</w:t>
      </w:r>
    </w:p>
    <w:p>
      <w:r>
        <w:t>Sämtliche Gesellschafterbeschlüsse bedürfen künftig einer Mehrheit von mindestens 85 Prozent sämtlicher vorhandenen Stimmen. Dies gilt für Weisungen an Geschäftsführer und für alle gewöhnlichen und außergewöhnlichen Angelegenheiten, soweit zwingendes Recht nicht entgegensteht. Der bisherige Katalog in Nummer 7.2 wird gestrichen.</w:t>
      </w:r>
    </w:p>
    <w:p>
      <w:pPr>
        <w:pStyle w:val="Heading1"/>
      </w:pPr>
      <w:r>
        <w:t>2 Weiteres Vorgehen</w:t>
      </w:r>
    </w:p>
    <w:p>
      <w:r>
        <w:t>Diese Fassung ist ausschließlich eine Besprechungsgrundlage. Sie wird erst nach inhaltlicher Einigung dem Notariat vorgelegt. Ein Termin zur Beurkundung ist noch nicht vereinbart. Es wird keine sofortige Änderung behauptet.</w:t>
      </w:r>
    </w:p>
    <w:p>
      <w:pPr>
        <w:pStyle w:val="Heading1"/>
      </w:pPr>
      <w:r>
        <w:t>3 Offene Abstimmung</w:t>
      </w:r>
    </w:p>
    <w:p>
      <w:r>
        <w:t>Mila bittet darum, dass die Regel auch die Budgetentscheidung und die laufende Personalplanung umfasst. Wendelin möchte das mit seiner Kreditlinie abstimmen. Oda hat noch keine Zustimmung abgegeben.</w:t>
      </w:r>
    </w:p>
    <w:sectPr w:rsidR="00FC693F" w:rsidRPr="0006063C" w:rsidSect="00034616">
      <w:footerReference w:type="default" r:id="rId9"/>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Entwurf einer Satzungsänderung</dc:title>
  <dc:subject>Arbeitsfassung 16.09.2026; erstellt durch Wendelin Rapp. Nicht unterzeichnet.</dc:subject>
  <dc:creator>Kranichspur Prozessdesign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