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Nachbesprechung Importstörung vom 14. April</w:t>
      </w:r>
    </w:p>
    <w:p>
      <w:r>
        <w:t>Elster Logistiksysteme GmbH · Anwendungsbetrieb</w:t>
        <w:br/>
        <w:t>Besprechung am 17. April 2025, 10:30–11:15 Uhr</w:t>
        <w:br/>
        <w:t>Teilnehmende: Sven Pohl, Aylin Bao Wendel, Jonas Kern-Knörz</w:t>
      </w:r>
    </w:p>
    <w:p>
      <w:pPr>
        <w:pStyle w:val="Heading1"/>
      </w:pPr>
      <w:r>
        <w:t>1 Ablauf</w:t>
      </w:r>
    </w:p>
    <w:p>
      <w:r>
        <w:t>Am 14. April um 7:42 Uhr meldete das Lager doppelte Artikelbestände nach einem Import. Aylin stoppte den Folgejob. Sven rief Jonas um 8:05 Uhr auf dessen Mobiltelefon an. Jonas war auf dem Weg zu einem anderen Kundentermin und konnte ab 9:30 Uhr zugreifen. Aylin spielte bis dahin den letzten konsistenten Bestand auf die Testumgebung. Um 11:15 Uhr lag eine erste Fehlerursache vor: Die vom Lieferanten gelieferten Zeitstempel enthielten für 36 Datensätze keine Zeitzone.</w:t>
      </w:r>
    </w:p>
    <w:p>
      <w:r>
        <w:t>Jonas ergänzte eine Prüfung und erstellte einen Korrekturlauf. Sven gab den Lauf um 13:40 Uhr frei. Die Lagerarbeit wurde um 15:10 Uhr wieder aufgenommen. Eine Erklärung an den Lieferanten verschickte Aylin. Der ursprüngliche Importcode entsprach der dokumentierten Schnittstelle; die neue Prüfung wird gleichwohl in die künftigen Standardtests aufgenommen. Eine abschließende Zuordnung des Fehleraufwands wurde in der Besprechung nicht getroffen.</w:t>
      </w:r>
    </w:p>
    <w:p>
      <w:pPr>
        <w:pStyle w:val="Heading1"/>
      </w:pPr>
      <w:r>
        <w:t>2 Erreichbarkeit</w:t>
      </w:r>
    </w:p>
    <w:p>
      <w:r>
        <w:t>Sven möchte, dass Jonas an den vereinbarten Leistungstagen im Zeitfenster 8 bis 17 Uhr auf dringende Rückfragen reagiert. Jonas weist darauf hin, dass bisher nur der Teamtermin um 9 Uhr feststeht und seine anderen Termine nicht pauschal untergeordnet werden können. Aylin schlägt vor, kritische Datenläufe am Vortag anzukündigen. Eine eigene Rufbereitschaft für Jonas wird nicht eingerichtet. Für den morgendlichen Betrieb bleibt die interne Bereitschaft zuständig.</w:t>
      </w:r>
    </w:p>
    <w:p>
      <w:pPr>
        <w:pStyle w:val="Heading1"/>
      </w:pPr>
      <w:r>
        <w:t>3 Stundenfreigabe</w:t>
      </w:r>
    </w:p>
    <w:p>
      <w:r>
        <w:t>Jonas hat für Fehleranalyse und Nachbereitung zunächst neun zusätzliche Stunden notiert. Sven hält drei Stunden Dokumentationspflege für bereits im laufenden Ticket enthalten. Jonas bietet an, diese drei Stunden diesmal nicht abzurechnen, ohne damit die Ursache der Störung zu übernehmen. Die übrigen sechs Stunden werden in der Aprilübersicht bestätigt. Mit der Korrektur ergibt sich ein Monatsumfang von 120 Stunden. Nordlicht erhält nur die freigegebene Monatsübersicht, nicht dieses Protokoll.</w:t>
      </w:r>
    </w:p>
    <w:p>
      <w:pPr>
        <w:pStyle w:val="Heading1"/>
      </w:pPr>
      <w:r>
        <w:t>4 Weiteres Vorgehen</w:t>
      </w:r>
    </w:p>
    <w:p>
      <w:r>
        <w:t>Aylin erstellt bis zum 24. April eine Checkliste für angekündigte Lieferantenänderungen. Jonas ergänzt die Zeitzonenprüfung und den Hinweis in der Übergabedokumentation. Sven klärt mit dem Einkauf, wer Lieferanteninformationen künftig an den Anwendungsbetrieb weitergibt. Für neue Aufgaben außerhalb des Importbereichs soll Sven vor der Zuweisung prüfen, ob das bestehende Budget reicht.</w:t>
      </w:r>
    </w:p>
    <w:p>
      <w:r>
        <w:t>Protokoll: Aylin Bao Wendel, versandt am 18. April 2025. Jonas ergänzte am 22. April den Satz zur nicht übernommenen Fehlerursache. Weitere Rückmeldungen sind im Protokollordner nicht eingegangen.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Nachbesprechung Importstörung vom 14. April</dc:title>
  <dc:subject/>
  <dc:creator>Aylin Bao Wendel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