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Vereinbarung zur eigenen anwaltlichen Nebentätigkeit</w:t>
      </w:r>
    </w:p>
    <w:p>
      <w:r>
        <w:t>18. März 2019</w:t>
        <w:br/>
        <w:t>Ausfertigung für beide Vertragsparteien</w:t>
      </w:r>
    </w:p>
    <w:p>
      <w:pPr>
        <w:pStyle w:val="Heading1"/>
      </w:pPr>
      <w:r>
        <w:t>1 Gestattung</w:t>
      </w:r>
    </w:p>
    <w:p>
      <w:r>
        <w:t>Die Fleetbogen Mobilität GmbH gestattet Frau Mila Ahrens, außerhalb ihrer vereinbarten Arbeitszeit eine eigene anwaltliche Kanzlei zu führen. Die Kanzlei wird unter ihrem Namen und auf eigene Rechnung betrieben. Frau Ahrens entscheidet selbst, welche Mandate sie annimmt. Die Gesellschaft schuldet ihr hierfür weder Vergütung noch Sachmittel.</w:t>
      </w:r>
    </w:p>
    <w:p>
      <w:pPr>
        <w:pStyle w:val="Heading1"/>
      </w:pPr>
      <w:r>
        <w:t>2 Trennung der Tätigkeiten</w:t>
      </w:r>
    </w:p>
    <w:p>
      <w:r>
        <w:t>Frau Ahrens verwendet für die Kanzlei eigene Kommunikationsmittel, Aktenführung und eine eigene Berufshaftpflichtversicherung. Kunden und Lieferanten der Gesellschaft werden nur übernommen, wenn berufsrechtlich kein Konflikt besteht und die Geschäftsführung vorab über die mögliche Berührung betrieblicher Interessen informiert wurde. Die Gesellschaft erhält keine Einsicht in fremde Mandantenakten.</w:t>
      </w:r>
    </w:p>
    <w:p>
      <w:pPr>
        <w:pStyle w:val="Heading1"/>
      </w:pPr>
      <w:r>
        <w:t>3 Zeit und Nutzung von Einrichtungen</w:t>
      </w:r>
    </w:p>
    <w:p>
      <w:r>
        <w:t>Die Nebentätigkeit darf die Erfüllung der Aufgaben aus dem Arbeitsvertrag nicht beeinträchtigen. Termine während der vertraglichen Arbeitszeit bedürfen vorheriger Freistellung oder werden im Rahmen zulässiger Gleitzeit nachgeholt. Eine pauschale Bereitschaft der Gesellschaft, Kanzleiaufwand zu vergüten, besteht nicht. Die Räume in der Werftstraße dürfen ohne besondere Vereinbarung nicht als Kanzleisitz angegeben werden.</w:t>
      </w:r>
    </w:p>
    <w:p>
      <w:pPr>
        <w:pStyle w:val="Heading1"/>
      </w:pPr>
      <w:r>
        <w:t>4 Änderungen</w:t>
      </w:r>
    </w:p>
    <w:p>
      <w:r>
        <w:t>Ändern sich Umfang oder Art der Nebentätigkeit so, dass betriebliche Interessen betroffen sein können, informiert Frau Ahrens die Gesellschaft. Eine Einschränkung der Gestattung wird nicht ohne sachlichen Grund ausgesprochen. Die Beteiligten besprechen zunächst, ob eine konkrete Interessenkollision oder zeitliche Überschneidung durch eine engere Abgrenzung behoben werden kann.</w:t>
      </w:r>
    </w:p>
    <w:p>
      <w:r>
        <w:t>Hamburg, 18. März 2019</w:t>
        <w:br/>
        <w:t>Traugott Brehm</w:t>
        <w:br/>
        <w:t>Mila Ahrens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Fleetbogen Mobilität GmbH und Mila Ahrens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zur eigenen anwaltlichen Nebentätigkeit</dc:title>
  <dc:subject/>
  <dc:creator>Fleetbogen Mobilität GmbH und Mila Ahrens</dc:creator>
  <cp:keywords/>
  <dc:description>generated by python-docx</dc:description>
  <cp:lastModifiedBy/>
  <cp:revision>1</cp:revision>
  <dcterms:created xsi:type="dcterms:W3CDTF">2013-12-23T23:15:00Z</dcterms:created>
  <dcterms:modified xsi:type="dcterms:W3CDTF">2013-12-23T23:15:00Z</dcterms:modified>
  <cp:category/>
</cp:coreProperties>
</file>