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Beschreibung der derzeitigen Aufgaben von Frau Ahrens</w:t>
      </w:r>
    </w:p>
    <w:p>
      <w:r>
        <w:t>29. September 2026</w:t>
        <w:br/>
        <w:t>Hanseatische Rechtsanwaltskammer und Mila Ahrens</w:t>
      </w:r>
    </w:p>
    <w:p>
      <w:pPr>
        <w:pStyle w:val="Heading1"/>
      </w:pPr>
      <w:r>
        <w:t>1 Vertraglicher Verlauf</w:t>
      </w:r>
    </w:p>
    <w:p>
      <w:r>
        <w:t>Das Arbeitsverhältnis von Frau Mila Ahrens wurde zum 1. April 2026 durch dreiseitigen Vertrag mit allen Rechten und Pflichten übernommen. Bis zum 30. Juni galt die bisherige Aufgabenbeschreibung. Eine Beendigung und Neubegründung wurde nicht vereinbart. Die Arbeitszeit beträgt unverändert 38 Wochenstunden.</w:t>
      </w:r>
    </w:p>
    <w:p>
      <w:pPr>
        <w:pStyle w:val="Heading1"/>
      </w:pPr>
      <w:r>
        <w:t>2 Aufgaben seit Juli</w:t>
      </w:r>
    </w:p>
    <w:p>
      <w:r>
        <w:t>Frau Ahrens bearbeitet Vertragsfragen, verhandelt rechtliche Klauseln und berät die Geschäftsführung. Daneben koordiniert sie Kundendienst und Abrechnung, führt die wöchentlichen Teamleiterrunden und entscheidet über Erstattungen bis 15.000 Euro im Einzelfall. Für operative Entscheidungen erhält sie Vorgaben zu Budget und Kundenservice. Über Einstellungen und Kündigungen entscheidet die Geschäftsführerin. Frau Ahrens ist kein Organ der Gesellschaft und verfügt nicht über Prokura.</w:t>
      </w:r>
    </w:p>
    <w:p>
      <w:pPr>
        <w:pStyle w:val="Heading1"/>
      </w:pPr>
      <w:r>
        <w:t>3 Zeitanteile und Unabhängigkeit</w:t>
      </w:r>
    </w:p>
    <w:p>
      <w:r>
        <w:t>Die Rechtsberatung erfolgt fachlich unabhängig. Für die kaufmännischen Aufgaben gelten die Vorgaben der Geschäftsführung. Eine belastbare Stundenaufteilung können wir mangels entsprechender Erfassung nicht bescheinigen. Im August entfiel nach Einschätzung der Geschäftsführerin ungefähr die Hälfte der Tätigkeit auf rechtliche Aufgaben. Die ursprüngliche Planung hatte für Recht einen höheren Anteil vorgesehen. Der tatsächliche Bedarf schwankt nach Projektphase.</w:t>
      </w:r>
    </w:p>
    <w:p>
      <w:pPr>
        <w:pStyle w:val="Heading1"/>
      </w:pPr>
      <w:r>
        <w:t>4 Übergangsphase</w:t>
      </w:r>
    </w:p>
    <w:p>
      <w:r>
        <w:t>Die Einarbeitung begann am 15. Juni. Vor dem 1. Juli traf die Geschäftsführerin die abschließenden operativen Freigaben. Ab Juli wurden diese Frau Ahrens innerhalb des vereinbarten Rahmens übertragen. Die technischen Systemrechte wurden am 6. Juli freigeschaltet. Diese Verzögerung sollte den vertraglichen Beginn nicht verschieben.</w:t>
      </w:r>
    </w:p>
    <w:p>
      <w:r>
        <w:t>Hamburg, 29. September 2026</w:t>
        <w:br/>
        <w:t>Juna Martens, Geschäftsführerin</w:t>
      </w:r>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Fleetbogen Netze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20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Beschreibung der derzeitigen Aufgaben von Frau Ahrens</dc:title>
  <dc:subject/>
  <dc:creator>Fleetbogen Netze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