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2948"/>
      </w:tblGrid>
      <w:tr>
        <w:tc>
          <w:tcPr>
            <w:tcW w:type="dxa" w:w="4790"/>
            <w:tcMar>
              <w:top w:w="0" w:type="dxa"/>
              <w:start w:w="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b/>
                <w:color w:val="17324D"/>
                <w:sz w:val="24"/>
              </w:rPr>
              <w:t>RHEINBLICK RECHTSANWÄLTE PartG mbB</w:t>
            </w:r>
          </w:p>
          <w:p>
            <w:pPr>
              <w:spacing w:after="0"/>
            </w:pPr>
            <w:r>
              <w:rPr>
                <w:color w:val="59636B"/>
                <w:sz w:val="16"/>
              </w:rPr>
              <w:t>Hohenzollernring 57 · 50672 Köln · Telefon 0221 580 44 20 · Fax 0221 580 44 29</w:t>
            </w:r>
          </w:p>
          <w:p>
            <w:pPr>
              <w:spacing w:after="0"/>
            </w:pPr>
            <w:r>
              <w:rPr>
                <w:color w:val="59636B"/>
                <w:sz w:val="16"/>
              </w:rPr>
              <w:t>kanzlei@rheinblick-recht.de · Partnerschaftsregister AG Essen PR 4812 · Fremdgeldkonto DE56 3704 0044 0712 9080 00</w:t>
            </w:r>
          </w:p>
        </w:tc>
        <w:tc>
          <w:tcPr>
            <w:tcW w:type="dxa" w:w="4790"/>
            <w:tcMar>
              <w:top w:w="0" w:type="dxa"/>
              <w:start w:w="80" w:type="dxa"/>
              <w:bottom w:w="8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color w:val="2E668B"/>
                <w:sz w:val="18"/>
              </w:rPr>
              <w:t>FRISTENKONTROLLE</w:t>
            </w:r>
          </w:p>
        </w:tc>
      </w:tr>
    </w:tbl>
    <w:p>
      <w:pPr>
        <w:spacing w:after="160"/>
        <w:pBdr>
          <w:bottom w:val="single" w:sz="10" w:space="1" w:color="2E668B"/>
        </w:pBdr>
      </w:pPr>
    </w:p>
    <w:p>
      <w:pPr>
        <w:pStyle w:val="Title"/>
      </w:pPr>
      <w:r>
        <w:t>Chronologie, Fristen und Belegstand</w:t>
      </w:r>
    </w:p>
    <w:p>
      <w:pPr>
        <w:spacing w:after="180"/>
      </w:pPr>
      <w:r>
        <w:rPr>
          <w:b/>
          <w:color w:val="2E668B"/>
        </w:rPr>
        <w:t>Altfeld Vertrieb GmbH ./. Nordstern MedTech GmbH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Stand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4. Juni 2026, 16:20 Uhr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Kontrolliert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Stefanie Pollok / Fristenreferat M. Noll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Bezugsdokumente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Vertrag, E-Mails, Provisionsdatei, CRM-Auszug, Kundenliste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Hinweis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Kalenderdaten sind aus dem Aktenbestand abgeleitet und bei Originaleingang erneut zu kontrollieren.</w:t>
            </w:r>
          </w:p>
        </w:tc>
      </w:tr>
    </w:tbl>
    <w:p>
      <w:pPr>
        <w:spacing w:after="20"/>
      </w:pPr>
    </w:p>
    <w:p>
      <w:pPr>
        <w:pStyle w:val="Heading1"/>
      </w:pPr>
      <w:r>
        <w:t>1. Chronologie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3118"/>
        <w:gridCol w:w="2154"/>
        <w:gridCol w:w="2665"/>
      </w:tblGrid>
      <w:tr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Vorgang</w:t>
            </w:r>
          </w:p>
        </w:tc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Quelle</w:t>
            </w:r>
          </w:p>
        </w:tc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Bedeutung für die Bearbeitung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3. Juni 2018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Unterzeichnung des Handelsvertretervertrags; Gebiet Nordrhein-Westfalen und Hessen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Vertragsauszug, Original angekündigt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Vertragspartner, Anlagen und Gebietsabgrenzung vollständig erfassen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17. September 2019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Erster dokumentierter Termin beim Klinikum Westbogen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Kalendereintrag und Kundenliste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Erstkontakt und spätere Rahmenvertragsabrufe abgleichen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12. Februar 2021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Erstauftrag Praxisnetz Lahntal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Kundenliste; Rechnung noch nicht in der Akte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Neukundenstatus und Folgegeschäft offen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9. September 2024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Nordstern kündigt zentralen Webshop für Klinikbedarf an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CRM-Notiz; Rundmail fehlt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Beginn der behaupteten Abrechnungslücke eingrenzen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12. November 2024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Vertriebsleiter spricht in Chat über unveränderte Gebietszuordnung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Chatbild 11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Vollständigen Verlauf und Absendergerät sichern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31. Dezember 2025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Jahresabrechnung enthält pauschale Stornoreserve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Provisionsabrechnung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Einzelne Stornogründe und Rückführungen fehlen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12. März 2026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Auftrag PO-1887 Klinikum Westbogen über 184000 EUR netto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Excel-Datei 05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Teilweise Ausführung und Provisionsbasis offen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3. April 2026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Auftrag PO-1912 MVZ Rheinbogen über 42000 EUR ohne Provision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Excel-Datei 05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Zuordnung als Direktvertrieb streitig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22. April 2026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Auftrag PO-1920 Praxisnetz Lahntal über 76000 EUR; 5320 EUR in Reserve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Excel-Datei 05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Ausführungs- und Stornodaten anfordern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22. Mai 2026, 12:15 Uhr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Kündigungs-E-Mail zum 31. Dezember 2026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E-Mail 07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Zugang, Vertretungsmacht und vollständige Erklärung sichern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25. Mai 2026, 10:44 Uhr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Buchauszug und Bezirksumsätze anwaltlich verlangt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E-Mail 08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Umfang, Zugang und Reaktion dokumentieren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26. Mai 2026, 14:30 Uhr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Nordstern-IT meldet personenbezogene Notizen im CRM-Export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E-Mail 15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Datenumfang, Schwärzung und Beweissicherung abstimmen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2. Juni 2026, 11:47 Uhr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Telefonische Mandatsaufnahme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Aktennotiz 01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Originalunterlagen und Vollmacht angefordert</w:t>
            </w:r>
          </w:p>
        </w:tc>
      </w:tr>
      <w:tr>
        <w:tc>
          <w:tcPr>
            <w:tcW w:type="dxa" w:w="153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5. Juni 2026, 10:00 Uhr</w:t>
            </w:r>
          </w:p>
        </w:tc>
        <w:tc>
          <w:tcPr>
            <w:tcW w:type="dxa" w:w="311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Erstbesprechung mit Geschäftsführung und Buchhaltung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Kalendereintrag</w:t>
            </w:r>
          </w:p>
        </w:tc>
        <w:tc>
          <w:tcPr>
            <w:tcW w:type="dxa" w:w="266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Ziel, Firmenhistorie und fehlende Abrechnungen klären</w:t>
            </w:r>
          </w:p>
        </w:tc>
      </w:tr>
    </w:tbl>
    <w:p>
      <w:pPr>
        <w:spacing w:after="20"/>
      </w:pPr>
    </w:p>
    <w:p>
      <w:pPr>
        <w:pStyle w:val="Heading1"/>
      </w:pPr>
      <w:r>
        <w:t>2. Fristen- und Kontrollblatt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2381"/>
        <w:gridCol w:w="2041"/>
        <w:gridCol w:w="1701"/>
        <w:gridCol w:w="1134"/>
      </w:tblGrid>
      <w:tr>
        <w:tc>
          <w:tcPr>
            <w:tcW w:type="dxa" w:w="191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Kontrollpunkt</w:t>
            </w:r>
          </w:p>
        </w:tc>
        <w:tc>
          <w:tcPr>
            <w:tcW w:type="dxa" w:w="191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Auslöser</w:t>
            </w:r>
          </w:p>
        </w:tc>
        <w:tc>
          <w:tcPr>
            <w:tcW w:type="dxa" w:w="191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Arbeitsdatum</w:t>
            </w:r>
          </w:p>
        </w:tc>
        <w:tc>
          <w:tcPr>
            <w:tcW w:type="dxa" w:w="191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Zuständig</w:t>
            </w:r>
          </w:p>
        </w:tc>
        <w:tc>
          <w:tcPr>
            <w:tcW w:type="dxa" w:w="191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Vollmacht und Interessenkollision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Mandatsaufnahme 2. Juni 2026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5. Juni 2026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Sekretariat M. Noll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Identitätsunterlagen teilweise eingegangen</w:t>
            </w:r>
          </w:p>
        </w:tc>
      </w:tr>
      <w:tr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Nachfrist Buchauszug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Verlangen vom 25. Mai 2026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8. Juni 2026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Dr. Rohrhuber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Zugang der ersten E-Mail belegt; Reaktion fehlt</w:t>
            </w:r>
          </w:p>
        </w:tc>
      </w:tr>
      <w:tr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Sicherung CRM-Export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IT-Mail vom 26. Mai 2026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10. Juni 2026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Mandantin / Nordstern Legal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Umfang und Schwärzung offen</w:t>
            </w:r>
          </w:p>
        </w:tc>
      </w:tr>
      <w:tr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Vertragsende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Kündigung vom 22. Mai 2026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31. Dezember 2026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Fristenreferat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Nach Originalvertrag erneut kontrollieren</w:t>
            </w:r>
          </w:p>
        </w:tc>
      </w:tr>
      <w:tr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Ansprüche aus Abrechnungsjahr 2023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Kenntnis und Entstehung gesondert zu prüfen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30. September 2026 Vorfrist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Stefanie Pollok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Keine abschließende Berechnung ohne Vollakte</w:t>
            </w:r>
          </w:p>
        </w:tc>
      </w:tr>
      <w:tr>
        <w:tc>
          <w:tcPr>
            <w:tcW w:type="dxa" w:w="221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Geltendmachung nach Vertragsende</w:t>
            </w:r>
          </w:p>
        </w:tc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Vertragsbeendigung</w:t>
            </w:r>
          </w:p>
        </w:tc>
        <w:tc>
          <w:tcPr>
            <w:tcW w:type="dxa" w:w="20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Frist erst nach Norm- und Vertragsprüfung notieren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Dr. Rohrhuber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Bewusst noch nicht abschließend kalendriert</w:t>
            </w:r>
          </w:p>
        </w:tc>
      </w:tr>
    </w:tbl>
    <w:p>
      <w:pPr>
        <w:spacing w:after="20"/>
      </w:pPr>
    </w:p>
    <w:p>
      <w:pPr>
        <w:pStyle w:val="Heading1"/>
      </w:pPr>
      <w:r>
        <w:t>3. Widersprüche im Aktenbestand</w:t>
      </w:r>
    </w:p>
    <w:p>
      <w:pPr>
        <w:widowControl/>
      </w:pPr>
      <w:r>
        <w:t>Der Vertragsauszug nennt die Altfeld Vertrieb GmbH, während einzelne Altunterlagen die Geschäftsbezeichnung „Altfeld Medizinhandel“ verwenden. Der Mandant soll Handelsregisterauszug, Umfirmierungsunterlagen und Rechnungsadressaten vorlegen.</w:t>
      </w:r>
    </w:p>
    <w:p>
      <w:pPr>
        <w:widowControl/>
      </w:pPr>
      <w:r>
        <w:t>Die Kundenliste bezeichnet das MVZ Rheinbogen zugleich als Messekontakt und Onlinekontakt. Die zeitliche Reihenfolge der Kontaktaufnahme ist anhand von Kalender, CRM und E-Mail-Verkehr aufzuklären.</w:t>
      </w:r>
    </w:p>
    <w:p>
      <w:pPr>
        <w:widowControl/>
      </w:pPr>
      <w:r>
        <w:t>Die Excel-Datei enthält für PO-1920 eine Provision von 5320 EUR, bezeichnet denselben Betrag aber als Stornoreserve. Die Originalabrechnung und die Rechenformel fehlen.</w:t>
      </w:r>
    </w:p>
    <w:p>
      <w:pPr>
        <w:keepLines/>
        <w:spacing w:before="120"/>
      </w:pPr>
      <w:r>
        <w:rPr>
          <w:b/>
        </w:rPr>
        <w:t>Fristenkontrolle: M. Noll, Rechtsanwaltsfachangestellte · Zweitkontrolle: Stefanie Pollok, Rechtsanwältin</w:t>
      </w:r>
    </w:p>
    <w:sectPr w:rsidR="00FC693F" w:rsidRPr="0006063C" w:rsidSect="00034616">
      <w:footerReference w:type="default" r:id="rId9"/>
      <w:pgSz w:w="11906" w:h="16838"/>
      <w:pgMar w:top="1247" w:right="1134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9636B"/>
        <w:sz w:val="16"/>
      </w:rPr>
      <w:t xml:space="preserve">RHEINBLICK RECHTSANWÄLTE PartG mbB · RB-341/26-HV ·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026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66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