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Beweisliste und Zeugenthemen</w:t>
      </w:r>
    </w:p>
    <w:p>
      <w:pPr>
        <w:pStyle w:val="Heading2"/>
      </w:pPr>
      <w:r>
        <w:rPr>
          <w:rFonts w:ascii="Times New Roman" w:hAnsi="Times New Roman"/>
        </w:rPr>
        <w:t>Vorbemerkung</w:t>
      </w:r>
    </w:p>
    <w:p>
      <w:pPr>
        <w:jc w:val="left"/>
      </w:pPr>
      <w:r>
        <w:t>Die nachstehende Beweisliste ist nach Beweisthema sortiert, nicht nach Aktenstücken. Pro Thema werden Urkundenbeweise, Zeugenbeweise und ggf. Sachverständigenbeweis vorgehalten. Ziel ist die volle Substantiierung der Stufenklage gegen die Nordstern MedTech GmbH (Buchauszug Paragraf  87c HGB, Provisionen, Ausgleich Paragraf  89b HGB) und die Verteidigung gegen die behauptete Stornoreserve.</w:t>
      </w:r>
    </w:p>
    <w:p>
      <w:pPr>
        <w:pStyle w:val="Heading2"/>
      </w:pPr>
      <w:r>
        <w:t>Thema 1: Status als Handelsvertreter (Paragraf  84 Abs. 1 HGB)</w:t>
      </w:r>
    </w:p>
    <w:p>
      <w:pPr>
        <w:jc w:val="left"/>
      </w:pPr>
      <w:r>
        <w:rPr>
          <w:b/>
        </w:rPr>
        <w:t>Beweisthema:</w:t>
      </w:r>
      <w:r>
        <w:t xml:space="preserve"> Selbständige Tätigkeit, eigene Disposition über Arbeitszeit und Vorgehen, freie Tourenplanung, Bündelung mehrerer Hersteller.</w:t>
      </w:r>
    </w:p>
    <w:p>
      <w:pPr>
        <w:pStyle w:val="ListBullet"/>
      </w:pPr>
      <w:r>
        <w:t>Urkunden: Handelsvertretervertrag vom 03.06.2018 (Aktenstück 04), insbesondere Paragraf  2 (Selbständigkeit), Paragraf  5 (Bezirksabgrenzung), Paragraf  9 (Berichtspflichten).</w:t>
      </w:r>
    </w:p>
    <w:p>
      <w:pPr>
        <w:pStyle w:val="ListBullet"/>
      </w:pPr>
      <w:r>
        <w:t>Indizurkunden gegen Arbeitnehmerstatus: Provisionsabrechnungen 2018-2026 (Aktenstück 05) als reine Erfolgsvergütung; Reisekostenabrechnungen auf eigene Rechnung; Schreiben des Steuerberaters über steuerlichen Verbuchung der Provisionen.</w:t>
      </w:r>
    </w:p>
    <w:p>
      <w:pPr>
        <w:pStyle w:val="ListBullet"/>
      </w:pPr>
      <w:r>
        <w:rPr>
          <w:b/>
        </w:rPr>
        <w:t>Zeugen:</w:t>
      </w:r>
    </w:p>
    <w:p>
      <w:pPr>
        <w:pStyle w:val="ListBullet"/>
      </w:pPr>
      <w:r>
        <w:t>Herr A. Wiebold (Innendienst Nordstern, 2014-2022) — Aussage zur tatsächlichen Tourenplanung des Vertreters.</w:t>
      </w:r>
    </w:p>
    <w:p>
      <w:pPr>
        <w:pStyle w:val="ListBullet"/>
      </w:pPr>
      <w:r>
        <w:t>Herr D. Pasternak (Altfeld-Mitarbeiter, ehemals Mitvertreter) — Aussage zur Doppelvertretung und freien Disposition.</w:t>
      </w:r>
    </w:p>
    <w:p>
      <w:pPr>
        <w:pStyle w:val="ListBullet"/>
      </w:pPr>
      <w:r>
        <w:rPr>
          <w:b/>
        </w:rPr>
        <w:t>Sachverständiger:</w:t>
      </w:r>
      <w:r>
        <w:t xml:space="preserve"> Bei Streit um Abgrenzung könnte ein Sachverständiger für Vertriebsorganisation hinzugezogen werden — vorerst nicht erforderlich, weil die Urkundenlage klar ist.</w:t>
      </w:r>
    </w:p>
    <w:p>
      <w:pPr>
        <w:pStyle w:val="Heading2"/>
      </w:pPr>
      <w:r>
        <w:t>Thema 2: Bezirksprovision (Paragraf  87 Abs. 2 HGB)</w:t>
      </w:r>
    </w:p>
    <w:p>
      <w:pPr>
        <w:jc w:val="left"/>
      </w:pPr>
      <w:r>
        <w:rPr>
          <w:b/>
        </w:rPr>
        <w:t>Beweisthema:</w:t>
      </w:r>
      <w:r>
        <w:t xml:space="preserve"> Geschäfte mit Kunden im zugewiesenen Bezirk, auch wenn nicht vom Vertreter direkt vermittelt.</w:t>
      </w:r>
    </w:p>
    <w:p>
      <w:pPr>
        <w:pStyle w:val="ListBullet"/>
      </w:pPr>
      <w:r>
        <w:rPr>
          <w:b/>
        </w:rPr>
        <w:t>Urkunden:</w:t>
      </w:r>
      <w:r>
        <w:t xml:space="preserve"> Bezirkskarte als Anlage 1 zum Handelsvertretervertrag; CRM-Leads 2018-2026 (Aktenstück 12); Rahmenvertragsabrufe Klinikum Westbogen (Aktenstück 12); Online-Shop-Umsätze nach Postleitzahl-Filter (Aktenstück 15, CRM-Export).</w:t>
      </w:r>
    </w:p>
    <w:p>
      <w:pPr>
        <w:pStyle w:val="ListBullet"/>
      </w:pPr>
      <w:r>
        <w:t>Korrespondenz: E-Mail vom 12.11.2024 GF Vertrieb an Vertreter mit Bestätigung "Vertragsgebiet Nordrhein-Westfalen und Hessen unverändert" (Aktenstück 11, WhatsApp-Verlauf zusätzlich).</w:t>
      </w:r>
    </w:p>
    <w:p>
      <w:pPr>
        <w:pStyle w:val="ListBullet"/>
      </w:pPr>
      <w:r>
        <w:rPr>
          <w:b/>
        </w:rPr>
        <w:t>Zeugen:</w:t>
      </w:r>
    </w:p>
    <w:p>
      <w:pPr>
        <w:pStyle w:val="ListBullet"/>
      </w:pPr>
      <w:r>
        <w:t>Frau S. Brüggemann (Key Account Klinikum Westbogen) — Aussage, dass alle Bestellungen im Bezirk über den Vertreter laufen sollten.</w:t>
      </w:r>
    </w:p>
    <w:p>
      <w:pPr>
        <w:pStyle w:val="ListBullet"/>
      </w:pPr>
      <w:r>
        <w:t>Herr A. Wiebold (Innendienst) — Aussage zur Zuordnung der Online-Shop-Bestellungen auf den Bezirk.</w:t>
      </w:r>
    </w:p>
    <w:p>
      <w:pPr>
        <w:pStyle w:val="ListBullet"/>
      </w:pPr>
      <w:r>
        <w:rPr>
          <w:b/>
        </w:rPr>
        <w:t>Sachverständiger:</w:t>
      </w:r>
      <w:r>
        <w:t xml:space="preserve"> Wirtschaftsprüfer zur Berechnung der Bezirksumsätze, sobald Buchauszug erstritten.</w:t>
      </w:r>
    </w:p>
    <w:p>
      <w:pPr>
        <w:pStyle w:val="Heading2"/>
      </w:pPr>
      <w:r>
        <w:t>Thema 3: Buchauszug und Provisionslücken (Paragrafen  87a, 87c HGB)</w:t>
      </w:r>
    </w:p>
    <w:p>
      <w:pPr>
        <w:jc w:val="left"/>
      </w:pPr>
      <w:r>
        <w:rPr>
          <w:b/>
        </w:rPr>
        <w:t>Beweisthema:</w:t>
      </w:r>
      <w:r>
        <w:t xml:space="preserve"> Fehlende Aufstellung über sämtliche Geschäftsabschlüsse, Vergütungsfähigkeit, Stornogründe und Retouren.</w:t>
      </w:r>
    </w:p>
    <w:p>
      <w:pPr>
        <w:pStyle w:val="ListBullet"/>
      </w:pPr>
      <w:r>
        <w:rPr>
          <w:b/>
        </w:rPr>
        <w:t>Urkunden:</w:t>
      </w:r>
      <w:r>
        <w:t xml:space="preserve"> Provisionsabrechnungen 2023, 2024 und 2025 mit Lückenmarkern (Aktenstück 05, XLSX); Stornoreserve-Vermerk (Aktenstück 17); Buchauszugsverlangen unsererseits vom 25.04.2026 mit Fristsetzung (Aktenstück 08).</w:t>
      </w:r>
    </w:p>
    <w:p>
      <w:pPr>
        <w:pStyle w:val="ListBullet"/>
      </w:pPr>
      <w:r>
        <w:rPr>
          <w:b/>
        </w:rPr>
        <w:t>Schulungsmaterial:</w:t>
      </w:r>
      <w:r>
        <w:t xml:space="preserve"> Interne Preis- und Rabattlisten Nordstern 2023-2026 (anfordern via Buchauszug-Klage); zeigen, dass bestimmte Rabatte nicht von der Provision abgezogen werden dürfen.</w:t>
      </w:r>
    </w:p>
    <w:p>
      <w:pPr>
        <w:pStyle w:val="ListBullet"/>
      </w:pPr>
      <w:r>
        <w:rPr>
          <w:b/>
        </w:rPr>
        <w:t>Zeugen:</w:t>
      </w:r>
      <w:r>
        <w:t xml:space="preserve"> Frau K. Lechner (Controlling Nordstern) — Aussage zur Berechnungslogik der Stornoreserve und zur Erfassung der Online-Umsätze.</w:t>
      </w:r>
    </w:p>
    <w:p>
      <w:pPr>
        <w:pStyle w:val="Heading2"/>
      </w:pPr>
      <w:r>
        <w:t>Thema 4: Ausgleichsanspruch Paragraf  89b HGB</w:t>
      </w:r>
    </w:p>
    <w:p>
      <w:pPr>
        <w:jc w:val="left"/>
      </w:pPr>
      <w:r>
        <w:rPr>
          <w:b/>
        </w:rPr>
        <w:t>Beweisthema:</w:t>
      </w:r>
      <w:r>
        <w:t xml:space="preserve"> Neukundenanwerbung durch den Vertreter; Fortbestand der Geschäftsbeziehung nach Vertragsende; erhebliche Vorteile für Nordstern; Billigkeit.</w:t>
      </w:r>
    </w:p>
    <w:p>
      <w:pPr>
        <w:pStyle w:val="ListBullet"/>
      </w:pPr>
      <w:r>
        <w:rPr>
          <w:b/>
        </w:rPr>
        <w:t>Urkunden:</w:t>
      </w:r>
      <w:r>
        <w:t xml:space="preserve"> CRM-Leads 2018-2026 mit Erst-Kontakt-Datum (Aktenstück 12); Provisionsabrechnungen über Wiederholungsbestellungen (Aktenstück 05); Email-Korrespondenz Vertreter ↔ Neukunden (Aktenstück 07, 15).</w:t>
      </w:r>
    </w:p>
    <w:p>
      <w:pPr>
        <w:pStyle w:val="ListBullet"/>
      </w:pPr>
      <w:r>
        <w:rPr>
          <w:b/>
        </w:rPr>
        <w:t>Hochrechnung:</w:t>
      </w:r>
      <w:r>
        <w:t xml:space="preserve"> Wirtschaftsprüfer-Gutachten zur Provisionsverlust-Prognose (steht noch aus — beauftragen sobald Buchauszug vorliegt).</w:t>
      </w:r>
    </w:p>
    <w:p>
      <w:pPr>
        <w:pStyle w:val="ListBullet"/>
      </w:pPr>
      <w:r>
        <w:rPr>
          <w:b/>
        </w:rPr>
        <w:t>Zeugen:</w:t>
      </w:r>
      <w:r>
        <w:t xml:space="preserve"> Frau S. Brüggemann (Klinikum Westbogen) — Aussage, dass Geschäftsbeziehung über Vertreter aufgebaut wurde und nach dessen Ausscheiden fortbesteht.</w:t>
      </w:r>
    </w:p>
    <w:p>
      <w:pPr>
        <w:pStyle w:val="Heading2"/>
      </w:pPr>
      <w:r>
        <w:rPr>
          <w:rFonts w:ascii="Times New Roman" w:hAnsi="Times New Roman"/>
        </w:rPr>
        <w:t>Thema 5: Stornogründe und Retouren</w:t>
      </w:r>
    </w:p>
    <w:p>
      <w:pPr>
        <w:jc w:val="left"/>
      </w:pPr>
      <w:r>
        <w:t>Beweisthema: Storno aus Gründen, die der Vertreter nicht zu vertreten hat (Paragraf  87a Abs. 3 HGB).</w:t>
      </w:r>
    </w:p>
    <w:p>
      <w:pPr>
        <w:pStyle w:val="ListBullet"/>
      </w:pPr>
      <w:r>
        <w:rPr>
          <w:b/>
        </w:rPr>
        <w:t>Urkunden:</w:t>
      </w:r>
      <w:r>
        <w:t xml:space="preserve"> Stornoaufstellung 2024-2026 (Aktenstück 17); Reklamations-/Retourenakten Klinikum Westbogen; interne E-Mails über Lieferprobleme (Aktenstück 11, WhatsApp).</w:t>
      </w:r>
    </w:p>
    <w:p>
      <w:pPr>
        <w:pStyle w:val="ListBullet"/>
      </w:pPr>
      <w:r>
        <w:rPr>
          <w:b/>
        </w:rPr>
        <w:t>Zeugen:</w:t>
      </w:r>
      <w:r>
        <w:t xml:space="preserve"> Herr D. Pasternak (ehemaliger Mitvertreter); Vertriebsleiter R. Steinwald.</w:t>
      </w:r>
    </w:p>
    <w:p>
      <w:pPr>
        <w:pStyle w:val="Heading2"/>
      </w:pPr>
      <w:r>
        <w:rPr>
          <w:rFonts w:ascii="Times New Roman" w:hAnsi="Times New Roman"/>
        </w:rPr>
        <w:t>Thema 6: Online-Vertriebsumstellung und Kündigungsgrund</w:t>
      </w:r>
    </w:p>
    <w:p>
      <w:pPr>
        <w:jc w:val="left"/>
      </w:pPr>
      <w:r>
        <w:t>Beweisthema: Strukturelle Umstellung als wirtschaftliche Beendigungsmotivation; keine wichtige Person des Vertreters; Folge: Paragraf  89b-Anspruch nicht ausgeschlossen nach Paragraf  89b Abs. 3 HGB.</w:t>
      </w:r>
    </w:p>
    <w:p>
      <w:pPr>
        <w:pStyle w:val="ListBullet"/>
      </w:pPr>
      <w:r>
        <w:rPr>
          <w:b/>
        </w:rPr>
        <w:t>Urkunden:</w:t>
      </w:r>
      <w:r>
        <w:t xml:space="preserve"> Vorstandsvorlage Vertriebsumstellung (Aktenstück 20); Kündigungsschreiben (Aktenstück 07); interne Roadmap-PDF.</w:t>
      </w:r>
    </w:p>
    <w:p>
      <w:pPr>
        <w:pStyle w:val="ListBullet"/>
      </w:pPr>
      <w:r>
        <w:rPr>
          <w:b/>
        </w:rPr>
        <w:t>Zeugen:</w:t>
      </w:r>
      <w:r>
        <w:t xml:space="preserve"> Herr R. Steinwald (Vertriebsleiter Nordstern); Frau K. Lechner (Controlling).</w:t>
      </w:r>
    </w:p>
    <w:p>
      <w:pPr>
        <w:pStyle w:val="Heading2"/>
      </w:pPr>
      <w:r>
        <w:rPr>
          <w:rFonts w:ascii="Times New Roman" w:hAnsi="Times New Roman"/>
        </w:rPr>
        <w:t>Zeugenkurzprofile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Zeuge</w:t>
            </w:r>
          </w:p>
        </w:tc>
        <w:tc>
          <w:tcPr>
            <w:tcW w:type="dxa" w:w="1814"/>
          </w:tcPr>
          <w:p>
            <w:r>
              <w:rPr>
                <w:rFonts w:ascii="Times New Roman" w:hAnsi="Times New Roman"/>
                <w:b/>
                <w:sz w:val="20"/>
              </w:rPr>
              <w:t>Rolle</w:t>
            </w:r>
          </w:p>
        </w:tc>
        <w:tc>
          <w:tcPr>
            <w:tcW w:type="dxa" w:w="1814"/>
          </w:tcPr>
          <w:p>
            <w:r>
              <w:rPr>
                <w:rFonts w:ascii="Times New Roman" w:hAnsi="Times New Roman"/>
                <w:b/>
                <w:sz w:val="20"/>
              </w:rPr>
              <w:t>Erreichbarkeit</w:t>
            </w:r>
          </w:p>
        </w:tc>
        <w:tc>
          <w:tcPr>
            <w:tcW w:type="dxa" w:w="1814"/>
          </w:tcPr>
          <w:p>
            <w:r>
              <w:rPr>
                <w:rFonts w:ascii="Times New Roman" w:hAnsi="Times New Roman"/>
                <w:b/>
                <w:sz w:val="20"/>
              </w:rPr>
              <w:t>Erwartete Aussage</w:t>
            </w:r>
          </w:p>
        </w:tc>
        <w:tc>
          <w:tcPr>
            <w:tcW w:type="dxa" w:w="1814"/>
          </w:tcPr>
          <w:p>
            <w:r>
              <w:rPr>
                <w:rFonts w:ascii="Times New Roman" w:hAnsi="Times New Roman"/>
                <w:b/>
                <w:sz w:val="20"/>
              </w:rPr>
              <w:t>Risiko</w:t>
            </w:r>
          </w:p>
        </w:tc>
      </w:tr>
      <w:tr>
        <w:tc>
          <w:tcPr>
            <w:tcW w:type="dxa" w:w="1814"/>
          </w:tcPr>
          <w:p>
            <w:r>
              <w:rPr>
                <w:rFonts w:ascii="Times New Roman" w:hAnsi="Times New Roman"/>
                <w:sz w:val="20"/>
              </w:rPr>
              <w:t>A. Wiebold</w:t>
            </w:r>
          </w:p>
        </w:tc>
        <w:tc>
          <w:tcPr>
            <w:tcW w:type="dxa" w:w="1814"/>
          </w:tcPr>
          <w:p>
            <w:r>
              <w:rPr>
                <w:rFonts w:ascii="Times New Roman" w:hAnsi="Times New Roman"/>
                <w:sz w:val="20"/>
              </w:rPr>
              <w:t>Innendienst</w:t>
            </w:r>
          </w:p>
        </w:tc>
        <w:tc>
          <w:tcPr>
            <w:tcW w:type="dxa" w:w="1814"/>
          </w:tcPr>
          <w:p>
            <w:r>
              <w:rPr>
                <w:rFonts w:ascii="Times New Roman" w:hAnsi="Times New Roman"/>
                <w:sz w:val="20"/>
              </w:rPr>
              <w:t>Über LinkedIn, ist bei Wettbewerber tätig</w:t>
            </w:r>
          </w:p>
        </w:tc>
        <w:tc>
          <w:tcPr>
            <w:tcW w:type="dxa" w:w="1814"/>
          </w:tcPr>
          <w:p>
            <w:r>
              <w:rPr>
                <w:rFonts w:ascii="Times New Roman" w:hAnsi="Times New Roman"/>
                <w:sz w:val="20"/>
              </w:rPr>
              <w:t>bestätigt Selbständigkeit + Bezirksumsätze</w:t>
            </w:r>
          </w:p>
        </w:tc>
        <w:tc>
          <w:tcPr>
            <w:tcW w:type="dxa" w:w="1814"/>
          </w:tcPr>
          <w:p>
            <w:r>
              <w:rPr>
                <w:rFonts w:ascii="Times New Roman" w:hAnsi="Times New Roman"/>
                <w:sz w:val="20"/>
              </w:rPr>
              <w:t>freundlich, aber Loyalitätsbindung</w:t>
            </w:r>
          </w:p>
        </w:tc>
      </w:tr>
      <w:tr>
        <w:tc>
          <w:tcPr>
            <w:tcW w:type="dxa" w:w="1814"/>
          </w:tcPr>
          <w:p>
            <w:r>
              <w:rPr>
                <w:rFonts w:ascii="Times New Roman" w:hAnsi="Times New Roman"/>
                <w:sz w:val="20"/>
              </w:rPr>
              <w:t>D. Pasternak</w:t>
            </w:r>
          </w:p>
        </w:tc>
        <w:tc>
          <w:tcPr>
            <w:tcW w:type="dxa" w:w="1814"/>
          </w:tcPr>
          <w:p>
            <w:r>
              <w:rPr>
                <w:rFonts w:ascii="Times New Roman" w:hAnsi="Times New Roman"/>
                <w:sz w:val="20"/>
              </w:rPr>
              <w:t>Ex-Mitvertreter</w:t>
            </w:r>
          </w:p>
        </w:tc>
        <w:tc>
          <w:tcPr>
            <w:tcW w:type="dxa" w:w="1814"/>
          </w:tcPr>
          <w:p>
            <w:r>
              <w:rPr>
                <w:rFonts w:ascii="Times New Roman" w:hAnsi="Times New Roman"/>
                <w:sz w:val="20"/>
              </w:rPr>
              <w:t>bekannt</w:t>
            </w:r>
          </w:p>
        </w:tc>
        <w:tc>
          <w:tcPr>
            <w:tcW w:type="dxa" w:w="1814"/>
          </w:tcPr>
          <w:p>
            <w:r>
              <w:rPr>
                <w:rFonts w:ascii="Times New Roman" w:hAnsi="Times New Roman"/>
                <w:sz w:val="20"/>
              </w:rPr>
              <w:t>bestätigt Bezirk + Stornogründe</w:t>
            </w:r>
          </w:p>
        </w:tc>
        <w:tc>
          <w:tcPr>
            <w:tcW w:type="dxa" w:w="1814"/>
          </w:tcPr>
          <w:p>
            <w:r>
              <w:rPr>
                <w:rFonts w:ascii="Times New Roman" w:hAnsi="Times New Roman"/>
                <w:sz w:val="20"/>
              </w:rPr>
              <w:t>will eigene Ansprüche nachladen</w:t>
            </w:r>
          </w:p>
        </w:tc>
      </w:tr>
      <w:tr>
        <w:tc>
          <w:tcPr>
            <w:tcW w:type="dxa" w:w="1814"/>
          </w:tcPr>
          <w:p>
            <w:r>
              <w:rPr>
                <w:rFonts w:ascii="Times New Roman" w:hAnsi="Times New Roman"/>
                <w:sz w:val="20"/>
              </w:rPr>
              <w:t>S. Brüggemann</w:t>
            </w:r>
          </w:p>
        </w:tc>
        <w:tc>
          <w:tcPr>
            <w:tcW w:type="dxa" w:w="1814"/>
          </w:tcPr>
          <w:p>
            <w:r>
              <w:rPr>
                <w:rFonts w:ascii="Times New Roman" w:hAnsi="Times New Roman"/>
                <w:sz w:val="20"/>
              </w:rPr>
              <w:t>Key Account Klinikum</w:t>
            </w:r>
          </w:p>
        </w:tc>
        <w:tc>
          <w:tcPr>
            <w:tcW w:type="dxa" w:w="1814"/>
          </w:tcPr>
          <w:p>
            <w:r>
              <w:rPr>
                <w:rFonts w:ascii="Times New Roman" w:hAnsi="Times New Roman"/>
                <w:sz w:val="20"/>
              </w:rPr>
              <w:t>nur über Klinikleitung</w:t>
            </w:r>
          </w:p>
        </w:tc>
        <w:tc>
          <w:tcPr>
            <w:tcW w:type="dxa" w:w="1814"/>
          </w:tcPr>
          <w:p>
            <w:r>
              <w:rPr>
                <w:rFonts w:ascii="Times New Roman" w:hAnsi="Times New Roman"/>
                <w:sz w:val="20"/>
              </w:rPr>
              <w:t>bestätigt Neukundenanwerbung</w:t>
            </w:r>
          </w:p>
        </w:tc>
        <w:tc>
          <w:tcPr>
            <w:tcW w:type="dxa" w:w="1814"/>
          </w:tcPr>
          <w:p>
            <w:r>
              <w:rPr>
                <w:rFonts w:ascii="Times New Roman" w:hAnsi="Times New Roman"/>
                <w:sz w:val="20"/>
              </w:rPr>
              <w:t>wird ungern aussagen</w:t>
            </w:r>
          </w:p>
        </w:tc>
      </w:tr>
      <w:tr>
        <w:tc>
          <w:tcPr>
            <w:tcW w:type="dxa" w:w="1814"/>
          </w:tcPr>
          <w:p>
            <w:r>
              <w:rPr>
                <w:rFonts w:ascii="Times New Roman" w:hAnsi="Times New Roman"/>
                <w:sz w:val="20"/>
              </w:rPr>
              <w:t>K. Lechner</w:t>
            </w:r>
          </w:p>
        </w:tc>
        <w:tc>
          <w:tcPr>
            <w:tcW w:type="dxa" w:w="1814"/>
          </w:tcPr>
          <w:p>
            <w:r>
              <w:rPr>
                <w:rFonts w:ascii="Times New Roman" w:hAnsi="Times New Roman"/>
                <w:sz w:val="20"/>
              </w:rPr>
              <w:t>Controlling Nordstern</w:t>
            </w:r>
          </w:p>
        </w:tc>
        <w:tc>
          <w:tcPr>
            <w:tcW w:type="dxa" w:w="1814"/>
          </w:tcPr>
          <w:p>
            <w:r>
              <w:rPr>
                <w:rFonts w:ascii="Times New Roman" w:hAnsi="Times New Roman"/>
                <w:sz w:val="20"/>
              </w:rPr>
              <w:t>nur über Gegnerwillen</w:t>
            </w:r>
          </w:p>
        </w:tc>
        <w:tc>
          <w:tcPr>
            <w:tcW w:type="dxa" w:w="1814"/>
          </w:tcPr>
          <w:p>
            <w:r>
              <w:rPr>
                <w:rFonts w:ascii="Times New Roman" w:hAnsi="Times New Roman"/>
                <w:sz w:val="20"/>
              </w:rPr>
              <w:t>belegt Berechnungslogik Stornoreserve</w:t>
            </w:r>
          </w:p>
        </w:tc>
        <w:tc>
          <w:tcPr>
            <w:tcW w:type="dxa" w:w="1814"/>
          </w:tcPr>
          <w:p>
            <w:r>
              <w:rPr>
                <w:rFonts w:ascii="Times New Roman" w:hAnsi="Times New Roman"/>
                <w:sz w:val="20"/>
              </w:rPr>
              <w:t>gegnerische Zeugin</w:t>
            </w:r>
          </w:p>
        </w:tc>
      </w:tr>
      <w:tr>
        <w:tc>
          <w:tcPr>
            <w:tcW w:type="dxa" w:w="1814"/>
          </w:tcPr>
          <w:p>
            <w:r>
              <w:rPr>
                <w:rFonts w:ascii="Times New Roman" w:hAnsi="Times New Roman"/>
                <w:sz w:val="20"/>
              </w:rPr>
              <w:t>R. Steinwald</w:t>
            </w:r>
          </w:p>
        </w:tc>
        <w:tc>
          <w:tcPr>
            <w:tcW w:type="dxa" w:w="1814"/>
          </w:tcPr>
          <w:p>
            <w:r>
              <w:rPr>
                <w:rFonts w:ascii="Times New Roman" w:hAnsi="Times New Roman"/>
                <w:sz w:val="20"/>
              </w:rPr>
              <w:t>Vertriebsleiter Nordstern</w:t>
            </w:r>
          </w:p>
        </w:tc>
        <w:tc>
          <w:tcPr>
            <w:tcW w:type="dxa" w:w="1814"/>
          </w:tcPr>
          <w:p>
            <w:r>
              <w:rPr>
                <w:rFonts w:ascii="Times New Roman" w:hAnsi="Times New Roman"/>
                <w:sz w:val="20"/>
              </w:rPr>
              <w:t>nur über Gegnerwillen</w:t>
            </w:r>
          </w:p>
        </w:tc>
        <w:tc>
          <w:tcPr>
            <w:tcW w:type="dxa" w:w="1814"/>
          </w:tcPr>
          <w:p>
            <w:r>
              <w:rPr>
                <w:rFonts w:ascii="Times New Roman" w:hAnsi="Times New Roman"/>
                <w:sz w:val="20"/>
              </w:rPr>
              <w:t>bestätigt Online-Umstellung als Motiv</w:t>
            </w:r>
          </w:p>
        </w:tc>
        <w:tc>
          <w:tcPr>
            <w:tcW w:type="dxa" w:w="1814"/>
          </w:tcPr>
          <w:p>
            <w:r>
              <w:rPr>
                <w:rFonts w:ascii="Times New Roman" w:hAnsi="Times New Roman"/>
                <w:sz w:val="20"/>
              </w:rPr>
              <w:t>gegnerische Zeugin</w:t>
            </w:r>
          </w:p>
        </w:tc>
      </w:tr>
    </w:tbl>
    <w:p>
      <w:pPr>
        <w:pStyle w:val="Heading2"/>
      </w:pPr>
      <w:r>
        <w:rPr>
          <w:rFonts w:ascii="Times New Roman" w:hAnsi="Times New Roman"/>
        </w:rPr>
        <w:t>Nächste Schritte</w:t>
      </w:r>
    </w:p>
    <w:p>
      <w:pPr>
        <w:pStyle w:val="ListNumber"/>
      </w:pPr>
      <w:r>
        <w:t>Wirtschaftsprüfer (Provisionsverlust-Prognose) beauftragen — Vorgespräch terminieren.</w:t>
      </w:r>
    </w:p>
    <w:p>
      <w:pPr>
        <w:pStyle w:val="ListNumber"/>
      </w:pPr>
      <w:r>
        <w:t>Bezirkskarte und Online-Shop-Postleitzahl-Auswertung in der nächsten Schriftsatzschleife als Anlage K3 und K4 referenzieren.</w:t>
      </w:r>
    </w:p>
    <w:p>
      <w:pPr>
        <w:pStyle w:val="ListNumber"/>
      </w:pPr>
      <w:r>
        <w:t>Zeugenvernehmungsantrag im Klageschriftsatz mit den oben genannten Beweisthemen formulieren.</w:t>
      </w:r>
    </w:p>
    <w:p>
      <w:pPr>
        <w:pStyle w:val="ListNumber"/>
      </w:pPr>
      <w:r>
        <w:t>Sondervermerk in Zeugenladung: bei Frau Brüggemann zunächst informatorisch über die Klinikleitung anfragen, ob ein neutraler Termin möglich ist.</w:t>
      </w:r>
    </w:p>
    <w:p>
      <w:pPr>
        <w:pStyle w:val="Heading1"/>
      </w:pPr>
      <w:r>
        <w:t>Aktenabgleich vom 5. Juni 2026</w:t>
      </w:r>
    </w:p>
    <w:p>
      <w:pPr>
        <w:pStyle w:val="Heading2"/>
      </w:pPr>
      <w:r>
        <w:t>Identität und Vertragslinie</w:t>
      </w:r>
    </w:p>
    <w:p>
      <w:r>
        <w:t>Vertragspartnerin ist nach dem vorliegenden Auszug die Altfeld Vertrieb GmbH, Friedrich-Ebert-Straße 94, 34119 Kassel. Ältere Abrechnungen verwenden daneben die Geschäftsbezeichnung Altfeld Medizinhandel. Handelsregisterauszug, Umfirmierungsunterlagen und Rechnungsempfänger sind deshalb vor jeder Anspruchsberechnung gegeneinander zu halten.</w:t>
      </w:r>
    </w:p>
    <w:p>
      <w:r>
        <w:t>Der schriftliche Vertrag datiert vom 3. Juni 2018 und weist Nordrhein-Westfalen und Hessen als Gebiet aus. Der Originalordner mit Bezirkskarte, Produktliste, Provisionsstaffel und Nachträgen soll am 5. Juni 2026 in der Kanzlei abgegeben werden; bis dahin bleibt jede Aussage zum genauen Gebiets- und Kundenkreisschutz vorläufig.</w:t>
      </w:r>
    </w:p>
    <w:p>
      <w:pPr>
        <w:pStyle w:val="Heading2"/>
      </w:pPr>
      <w:r>
        <w:t>Zahlen- und Belegbezug</w:t>
      </w:r>
    </w:p>
    <w:p>
      <w:r>
        <w:t>Für 2025 stehen 186740 EUR abgerechnete Provisionen in der Controlling-Auskunft 204380 EUR in der Vertriebsdatei gegenüber. Die Vorgänge PO-1887, PO-1912 und PO-1920 sind mit Auftragswert, Ausführungsstand, Kundensitz, Provisionssatz, Reserve und späterer Freigabe einzeln aufzubereiten.</w:t>
      </w:r>
    </w:p>
    <w:p>
      <w:r>
        <w:t>Frau Anja Altfeld soll zu jeder Differenz die Originalabrechnung, den Kontoauszug und den zugehörigen CRM-Eintrag bezeichnen. Zeugenaussagen erhalten ein enges Beweisthema mit Datum, Wahrnehmung und betroffener Bestellung.</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