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Fristen und Verjährung</w:t>
      </w:r>
    </w:p>
    <w:p>
      <w:pPr>
        <w:pStyle w:val="Heading2"/>
      </w:pPr>
      <w:r>
        <w:rPr>
          <w:rFonts w:ascii="Times New Roman" w:hAnsi="Times New Roman"/>
        </w:rPr>
        <w:t>Übersicht der laufenden Fristen</w:t>
      </w:r>
    </w:p>
    <w:p>
      <w:pPr>
        <w:jc w:val="left"/>
      </w:pPr>
      <w:r>
        <w:t>Die Akte hat mehrere parallele Fristen, die nicht gegeneinander ausgespielt werden dürfen. Wir behandeln sie nach Eskalationsgrad: zuerst die ungeschriebenen Eil-Fristen (Buchauszug, Stornoreserve), dann die gesetzlichen Geltendmachungsfristen (Paragraf  89b HGB), dann Verjährung.</w:t>
      </w:r>
    </w:p>
    <w:p>
      <w:pPr>
        <w:pStyle w:val="Heading3"/>
      </w:pPr>
      <w:r>
        <w:rPr>
          <w:rFonts w:ascii="Times New Roman" w:hAnsi="Times New Roman"/>
        </w:rPr>
        <w:t>1. Zugang der Kündigung — Berechnung Vertragsende</w:t>
      </w:r>
    </w:p>
    <w:p>
      <w:pPr>
        <w:pStyle w:val="ListBullet"/>
      </w:pPr>
      <w:r>
        <w:t>Kündigungserklärung datiert vom 22.05.2026; Eingang im E-Mail-Postfach der Altfeld Vertrieb GmbH am selben Tag um 12:15 Uhr (siehe Aktenstück 07).</w:t>
      </w:r>
    </w:p>
    <w:p>
      <w:pPr>
        <w:pStyle w:val="ListBullet"/>
      </w:pPr>
      <w:r>
        <w:t>Vertraglich vereinbarte Kündigungsfrist: sechs Monate zum Quartalsende (siehe Paragraf  12 des Handelsvertretervertrages, Aktenstück 04).</w:t>
      </w:r>
    </w:p>
    <w:p>
      <w:pPr>
        <w:pStyle w:val="ListBullet"/>
      </w:pPr>
      <w:r>
        <w:t>Daraus folgt: Vertragsende 31.12.2026, nicht — wie von der Nordstern MedTech GmbH zunächst behauptet — 30.06.2026. Vor einer abschließenden Fristenberechnung sind vollständige E-Mail, Absenderberechtigung, Headerdaten und ein etwaiger zusätzlicher Postzugang zu sichern.</w:t>
      </w:r>
    </w:p>
    <w:p>
      <w:pPr>
        <w:pStyle w:val="ListBullet"/>
      </w:pPr>
      <w:r>
        <w:t>Gesetzliche Mindestkündigungsfrist nach Paragraf  89 Abs. 1 Satz 1 HGB beträgt bei einem Vertragsverhältnis von über fünf Jahren mindestens sechs Monate zum Quartalsende — vertraglich also nicht unterschritten.</w:t>
      </w:r>
    </w:p>
    <w:p>
      <w:pPr>
        <w:pStyle w:val="Heading3"/>
      </w:pPr>
      <w:r>
        <w:t>2. Ausgleichsanspruch Paragraf  89b HGB</w:t>
      </w:r>
    </w:p>
    <w:p>
      <w:pPr>
        <w:pStyle w:val="ListBullet"/>
      </w:pPr>
      <w:r>
        <w:t>Materiell innerhalb eines Jahres nach Beendigung des Vertragsverhältnisses geltend zu machen, Paragraf  89b Abs. 4 Satz 2 HGB.</w:t>
      </w:r>
    </w:p>
    <w:p>
      <w:pPr>
        <w:pStyle w:val="ListBullet"/>
      </w:pPr>
      <w:r>
        <w:t xml:space="preserve">Bei Vertragsende 31.12.2026 läuft die Ausschlussfrist bis </w:t>
      </w:r>
      <w:r>
        <w:rPr>
          <w:b/>
        </w:rPr>
        <w:t>31.12.2027</w:t>
      </w:r>
      <w:r>
        <w:t>.</w:t>
      </w:r>
    </w:p>
    <w:p>
      <w:pPr>
        <w:pStyle w:val="ListBullet"/>
      </w:pPr>
      <w:r>
        <w:t xml:space="preserve">Praxisrichtwert: Geltendmachung spätestens </w:t>
      </w:r>
      <w:r>
        <w:rPr>
          <w:b/>
        </w:rPr>
        <w:t>drei Monate vor Ablauf</w:t>
      </w:r>
      <w:r>
        <w:t>, also bis Ende September 2027, um Beweissicherung, Vergleichsverhandlungen und ggf. Klageeinreichung sicher zu erreichen.</w:t>
      </w:r>
    </w:p>
    <w:p>
      <w:pPr>
        <w:pStyle w:val="ListBullet"/>
      </w:pPr>
      <w:r>
        <w:t>Das Gesetz schreibt für die Geltendmachung innerhalb eines Jahres keine besondere Form und keine abschließende Bezifferung vor. Aus Beweisgründen ist ein eindeutiges Schreiben mit bezeichnetem Anspruch, Zugangsnachweis und gesonderter Berechnungsankündigung vorzubereiten.</w:t>
      </w:r>
    </w:p>
    <w:p>
      <w:pPr>
        <w:pStyle w:val="ListBullet"/>
      </w:pPr>
      <w:r>
        <w:t>Achtung Stornoreserve: Wird die Stornoreserve einbehalten, ist sie bei der Paragraf  89b-Berechnung auf Provisionsverluste anzurechnen — sonst Doppelabzug.</w:t>
      </w:r>
    </w:p>
    <w:p>
      <w:pPr>
        <w:pStyle w:val="Heading3"/>
      </w:pPr>
      <w:r>
        <w:t>3. Buchauszug Paragraf  87c Abs. 2 HGB</w:t>
      </w:r>
    </w:p>
    <w:p>
      <w:pPr>
        <w:pStyle w:val="ListBullet"/>
      </w:pPr>
      <w:r>
        <w:t>Anspruch auf Buchauszug entsteht mit jeder Provisionsabrechnung. Verjährung nach Paragraf  195 BGB innerhalb von drei Jahren ab Schluss des Jahres, in dem der Anspruch entstanden ist und die Agentur Kenntnis erlangen musste.</w:t>
      </w:r>
    </w:p>
    <w:p>
      <w:pPr>
        <w:pStyle w:val="ListBullet"/>
      </w:pPr>
      <w:r>
        <w:t xml:space="preserve">Aktuell offen für die Geschäftsjahre 2023, 2024 und 2025. Für 2023 endet die Regelverjährung </w:t>
      </w:r>
      <w:r>
        <w:rPr>
          <w:b/>
        </w:rPr>
        <w:t>31.12.2026</w:t>
      </w:r>
      <w:r>
        <w:t xml:space="preserve"> — also dringend noch in diesem Quartal verlangen, sonst Teilverjährung.</w:t>
      </w:r>
    </w:p>
    <w:p>
      <w:pPr>
        <w:pStyle w:val="ListBullet"/>
      </w:pPr>
      <w:r>
        <w:t>Form: Schriftliches Verlangen genügt, aber wir empfehlen anwaltliches Schreiben mit Fristsetzung von zwei Wochen und Hinweis auf Klageandrohung; Klage ist nach BGH Stufenklage nach Paragraf  254 ZPO (erst Buchauszug, dann Auskunft, dann Leistung).</w:t>
      </w:r>
    </w:p>
    <w:p>
      <w:pPr>
        <w:pStyle w:val="Heading3"/>
      </w:pPr>
      <w:r>
        <w:t>4. Wettbewerbsabrede Paragraf  90a HGB</w:t>
      </w:r>
    </w:p>
    <w:p>
      <w:pPr>
        <w:pStyle w:val="ListBullet"/>
      </w:pPr>
      <w:r>
        <w:t xml:space="preserve">Karenzentschädigung </w:t>
      </w:r>
      <w:r>
        <w:rPr>
          <w:b/>
        </w:rPr>
        <w:t>gesondert</w:t>
      </w:r>
      <w:r>
        <w:t xml:space="preserve"> prüfen — Anspruch entsteht erst, wenn die Wettbewerbsabrede nach Vertragsende auch tatsächlich gilt.</w:t>
      </w:r>
    </w:p>
    <w:p>
      <w:pPr>
        <w:pStyle w:val="ListBullet"/>
      </w:pPr>
      <w:r>
        <w:t>Im hiesigen Vertrag Paragraf  17 Abs. 3 ist eine Karenzentschädigung in Höhe von 50 % der Durchschnittsvergütung der letzten fünf Jahre vereinbart, befristet auf zwei Jahre.</w:t>
      </w:r>
    </w:p>
    <w:p>
      <w:pPr>
        <w:pStyle w:val="ListBullet"/>
      </w:pPr>
      <w:r>
        <w:t>Geltendmachung: monatlich nach Vertragsende, jeweils zum Monatsersten. Nicht vergessen: bei Verzicht der Nordstern MedTech (Paragraf  90a Abs. 2 HGB) wird der Unternehmer mit Ablauf von sechs Monaten seit der Erklärung von der Entschädigungspflicht frei — Verzichtsschreiben aus Aktenstück 10 prüfen.</w:t>
      </w:r>
    </w:p>
    <w:p>
      <w:pPr>
        <w:pStyle w:val="Heading3"/>
      </w:pPr>
      <w:r>
        <w:rPr>
          <w:rFonts w:ascii="Times New Roman" w:hAnsi="Times New Roman"/>
        </w:rPr>
        <w:t>5. Allgemeine Verjährung übriger Ansprüche</w:t>
      </w:r>
    </w:p>
    <w:p>
      <w:pPr>
        <w:pStyle w:val="ListBullet"/>
      </w:pPr>
      <w:r>
        <w:t>Provisionsforderungen aus laufender Tätigkeit: drei Jahre nach Schluss des Jahres, in dem der Anspruch entstanden ist und der Vertreter Kenntnis hatte (Paragraf  195 BGB). Achtung Hemmung bei Vergleichsverhandlungen (Paragraf  203 BGB).</w:t>
      </w:r>
    </w:p>
    <w:p>
      <w:pPr>
        <w:pStyle w:val="ListBullet"/>
      </w:pPr>
      <w:r>
        <w:t>Aufwendungsersatz Paragraf  87d HGB: ebenfalls drei Jahre.</w:t>
      </w:r>
    </w:p>
    <w:p>
      <w:pPr>
        <w:pStyle w:val="ListBullet"/>
      </w:pPr>
      <w:r>
        <w:t>Schadensersatz aus Paragraf  280 BGB wegen vorenthaltener Abrechnungen: drei Jahre ab Kenntnis.</w:t>
      </w:r>
    </w:p>
    <w:p>
      <w:pPr>
        <w:pStyle w:val="Heading3"/>
      </w:pPr>
      <w:r>
        <w:rPr>
          <w:rFonts w:ascii="Times New Roman" w:hAnsi="Times New Roman"/>
        </w:rPr>
        <w:t>Sofortmaßnahmen (heute)</w:t>
      </w:r>
    </w:p>
    <w:p>
      <w:pPr>
        <w:pStyle w:val="ListNumber"/>
      </w:pPr>
      <w:r>
        <w:t>Zugangs-Beweis Kündigungsschreiben in der Akte sichern (Original Rückschein, Eingangsstempel, Erinnerungsemail).</w:t>
      </w:r>
    </w:p>
    <w:p>
      <w:pPr>
        <w:pStyle w:val="ListNumber"/>
      </w:pPr>
      <w:r>
        <w:t>Schriftliches Buchauszugsverlangen für die Geschäftsjahre 2023 bis 2025 ausfertigen — Frist zwei Wochen, Klage angedroht.</w:t>
      </w:r>
    </w:p>
    <w:p>
      <w:pPr>
        <w:pStyle w:val="ListNumber"/>
      </w:pPr>
      <w:r>
        <w:t>Geltendmachung Paragraf  89b HGB mit den verfügbaren Kunden- und Provisionsdaten vorbereiten und durch eindeutige Geltendmachung sichern, um Ausschlussfrist nicht zu reißen.</w:t>
      </w:r>
    </w:p>
    <w:p>
      <w:pPr>
        <w:pStyle w:val="ListNumber"/>
      </w:pPr>
      <w:r>
        <w:t>Karenzentschädigung gesondert anmelden, ab Monatsende des Vertragsendes.</w:t>
      </w:r>
    </w:p>
    <w:p>
      <w:pPr>
        <w:pStyle w:val="ListNumber"/>
      </w:pPr>
      <w:r>
        <w:t>Fristenblatt im Kanzleisystem mit allen genannten Daten eintragen, mit Vorfrist zwei Wochen.</w:t>
      </w:r>
    </w:p>
    <w:p>
      <w:pPr>
        <w:pStyle w:val="Heading1"/>
      </w:pPr>
      <w:r>
        <w:t>Kontrollvermerk zur Fristenberechnung</w:t>
      </w:r>
    </w:p>
    <w:p>
      <w:pPr>
        <w:pStyle w:val="Heading2"/>
      </w:pPr>
      <w:r>
        <w:t>Kontrollquellen</w:t>
      </w:r>
    </w:p>
    <w:p>
      <w:r>
        <w:t>Die Kündigungs-E-Mail vom 22. Mai 2026, der vollständige Vertrag einschließlich Paragraf 12, das Buchauszugsverlangen vom 25. Mai 2026 und sämtliche Provisionsabrechnungen werden als getrennte Fristauslöser erfasst. Der Kalender enthält Hauptfrist, zwei Vorfristen, verantwortlichen Bearbeiter und dokumentierte Zweitkontrolle.</w:t>
      </w:r>
    </w:p>
    <w:p>
      <w:r>
        <w:t>Für den Buchauszug ist je Abrechnungszeitraum festzuhalten, wann eine abschließende Abrechnung zuging. Der bloße Geschäftsjahresbezug ersetzt den Zugangsnachweis nicht. Für die Wettbewerbsabrede sind Urkunde, Aushändigung, räumlicher und sachlicher Umfang sowie eine etwaige schriftliche Verzichtserklärung als eigene Prüffelder anzulegen.</w:t>
      </w:r>
    </w:p>
    <w:p>
      <w:pPr>
        <w:pStyle w:val="Heading2"/>
      </w:pPr>
      <w:r>
        <w:t>Postausgang</w:t>
      </w:r>
    </w:p>
    <w:p>
      <w:r>
        <w:t>Das Sicherungsschreiben wird erst nach Abgleich der Gesellschaftsbezeichnung freigegeben. Versand vorgesehen über das Kanzleipostfach und zusätzlich per Einwurf-Einschreiben; Versandprotokoll, Sendungsnummer und Zustellstatus werden zur Akte genommen. Eine Berechnung wird ausdrücklich als vorläufig bezeichnet, solange der Buchauszug fehlt.</w:t>
      </w:r>
    </w:p>
    <w:sectPr w:rsidR="00FC693F" w:rsidRPr="0006063C" w:rsidSect="00034616">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