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520"/>
        <w:gridCol w:w="2948"/>
      </w:tblGrid>
      <w:tr>
        <w:tc>
          <w:tcPr>
            <w:tcW w:type="dxa" w:w="4790"/>
            <w:tcMar>
              <w:top w:w="0" w:type="dxa"/>
              <w:start w:w="0" w:type="dxa"/>
              <w:bottom w:w="80" w:type="dxa"/>
              <w:end w:w="80" w:type="dxa"/>
            </w:tcMar>
          </w:tcPr>
          <w:p>
            <w:pPr>
              <w:spacing w:after="20"/>
            </w:pPr>
            <w:r>
              <w:rPr>
                <w:b/>
                <w:color w:val="17324D"/>
                <w:sz w:val="24"/>
              </w:rPr>
              <w:t>BRETTSCHNEIDER · HOLLÄNDER RECHTSANWÄLTE</w:t>
            </w:r>
          </w:p>
          <w:p>
            <w:pPr>
              <w:spacing w:after="0"/>
            </w:pPr>
            <w:r>
              <w:rPr>
                <w:color w:val="59636B"/>
                <w:sz w:val="16"/>
              </w:rPr>
              <w:t>Neue Mainzer Straße 52 · 60311 Frankfurt am Main · Telefon 069 921 48 60 · Fax 069 921 48 629</w:t>
            </w:r>
          </w:p>
          <w:p>
            <w:pPr>
              <w:spacing w:after="0"/>
            </w:pPr>
            <w:r>
              <w:rPr>
                <w:color w:val="59636B"/>
                <w:sz w:val="16"/>
              </w:rPr>
              <w:t>compliance@bh-recht.de · Partnerschaftsregister AG Frankfurt am Main PR 2184</w:t>
            </w:r>
          </w:p>
        </w:tc>
        <w:tc>
          <w:tcPr>
            <w:tcW w:type="dxa" w:w="4790"/>
            <w:tcMar>
              <w:top w:w="0" w:type="dxa"/>
              <w:start w:w="80" w:type="dxa"/>
              <w:bottom w:w="80" w:type="dxa"/>
              <w:end w:w="0" w:type="dxa"/>
            </w:tcMar>
          </w:tcPr>
          <w:p>
            <w:pPr>
              <w:jc w:val="right"/>
            </w:pPr>
            <w:r>
              <w:rPr>
                <w:b/>
                <w:color w:val="2E668B"/>
                <w:sz w:val="18"/>
              </w:rPr>
              <w:t>VERTRAULICH · MANDATSAUFNAHME</w:t>
            </w:r>
          </w:p>
        </w:tc>
      </w:tr>
    </w:tbl>
    <w:p>
      <w:pPr>
        <w:spacing w:after="160"/>
        <w:pBdr>
          <w:bottom w:val="single" w:sz="10" w:space="1" w:color="2E668B"/>
        </w:pBdr>
      </w:pPr>
    </w:p>
    <w:p>
      <w:pPr>
        <w:pStyle w:val="Title"/>
      </w:pPr>
      <w:r>
        <w:t>Mandatsaufnahme Hinweisfall HIN-26-014</w:t>
      </w:r>
    </w:p>
    <w:p>
      <w:pPr>
        <w:spacing w:after="180"/>
      </w:pPr>
      <w:r>
        <w:rPr>
          <w:b/>
          <w:color w:val="2E668B"/>
        </w:rPr>
        <w:t>Waldkrone HealthTech GmbH · Produktdokumentation, Exportfreigaben und Bonusentscheidung</w:t>
      </w:r>
    </w:p>
    <w:tbl>
      <w:tblPr>
        <w:tblW w:type="auto" w:w="0"/>
        <w:tblLayout w:type="fixed"/>
        <w:tblLook w:firstColumn="1" w:firstRow="1" w:lastColumn="0" w:lastRow="0" w:noHBand="0" w:noVBand="1" w:val="04A0"/>
      </w:tblPr>
      <w:tblGrid>
        <w:gridCol w:w="2268"/>
        <w:gridCol w:w="7200"/>
      </w:tblGrid>
      <w:tr>
        <w:tc>
          <w:tcPr>
            <w:tcW w:type="dxa" w:w="2268"/>
            <w:shd w:fill="EAF1F5"/>
            <w:tcMar>
              <w:top w:w="90" w:type="dxa"/>
              <w:start w:w="90" w:type="dxa"/>
              <w:bottom w:w="90" w:type="dxa"/>
              <w:end w:w="90" w:type="dxa"/>
            </w:tcMar>
            <w:vAlign w:val="center"/>
          </w:tcPr>
          <w:p>
            <w:pPr>
              <w:spacing w:after="0"/>
            </w:pPr>
            <w:r>
              <w:rPr>
                <w:b/>
                <w:sz w:val="18"/>
              </w:rPr>
              <w:t>Aufgenommen</w:t>
            </w:r>
          </w:p>
        </w:tc>
        <w:tc>
          <w:tcPr>
            <w:tcW w:type="dxa" w:w="7200"/>
            <w:tcMar>
              <w:top w:w="90" w:type="dxa"/>
              <w:start w:w="90" w:type="dxa"/>
              <w:bottom w:w="90" w:type="dxa"/>
              <w:end w:w="90" w:type="dxa"/>
            </w:tcMar>
            <w:vAlign w:val="center"/>
          </w:tcPr>
          <w:p>
            <w:pPr>
              <w:spacing w:after="0"/>
            </w:pPr>
            <w:r>
              <w:rPr>
                <w:sz w:val="18"/>
              </w:rPr>
              <w:t>1. Juni 2026, 08:35 Uhr, Videokonferenz</w:t>
            </w:r>
          </w:p>
        </w:tc>
      </w:tr>
      <w:tr>
        <w:tc>
          <w:tcPr>
            <w:tcW w:type="dxa" w:w="2268"/>
            <w:shd w:fill="EAF1F5"/>
            <w:tcMar>
              <w:top w:w="90" w:type="dxa"/>
              <w:start w:w="90" w:type="dxa"/>
              <w:bottom w:w="90" w:type="dxa"/>
              <w:end w:w="90" w:type="dxa"/>
            </w:tcMar>
            <w:vAlign w:val="center"/>
          </w:tcPr>
          <w:p>
            <w:pPr>
              <w:spacing w:after="0"/>
            </w:pPr>
            <w:r>
              <w:rPr>
                <w:b/>
                <w:sz w:val="18"/>
              </w:rPr>
              <w:t>Mandantin</w:t>
            </w:r>
          </w:p>
        </w:tc>
        <w:tc>
          <w:tcPr>
            <w:tcW w:type="dxa" w:w="7200"/>
            <w:tcMar>
              <w:top w:w="90" w:type="dxa"/>
              <w:start w:w="90" w:type="dxa"/>
              <w:bottom w:w="90" w:type="dxa"/>
              <w:end w:w="90" w:type="dxa"/>
            </w:tcMar>
            <w:vAlign w:val="center"/>
          </w:tcPr>
          <w:p>
            <w:pPr>
              <w:spacing w:after="0"/>
            </w:pPr>
            <w:r>
              <w:rPr>
                <w:sz w:val="18"/>
              </w:rPr>
              <w:t>Waldkrone HealthTech GmbH, Hafenallee 21, 55118 Mainz</w:t>
            </w:r>
          </w:p>
        </w:tc>
      </w:tr>
      <w:tr>
        <w:tc>
          <w:tcPr>
            <w:tcW w:type="dxa" w:w="2268"/>
            <w:shd w:fill="EAF1F5"/>
            <w:tcMar>
              <w:top w:w="90" w:type="dxa"/>
              <w:start w:w="90" w:type="dxa"/>
              <w:bottom w:w="90" w:type="dxa"/>
              <w:end w:w="90" w:type="dxa"/>
            </w:tcMar>
            <w:vAlign w:val="center"/>
          </w:tcPr>
          <w:p>
            <w:pPr>
              <w:spacing w:after="0"/>
            </w:pPr>
            <w:r>
              <w:rPr>
                <w:b/>
                <w:sz w:val="18"/>
              </w:rPr>
              <w:t>Ansprechpartner</w:t>
            </w:r>
          </w:p>
        </w:tc>
        <w:tc>
          <w:tcPr>
            <w:tcW w:type="dxa" w:w="7200"/>
            <w:tcMar>
              <w:top w:w="90" w:type="dxa"/>
              <w:start w:w="90" w:type="dxa"/>
              <w:bottom w:w="90" w:type="dxa"/>
              <w:end w:w="90" w:type="dxa"/>
            </w:tcMar>
            <w:vAlign w:val="center"/>
          </w:tcPr>
          <w:p>
            <w:pPr>
              <w:spacing w:after="0"/>
            </w:pPr>
            <w:r>
              <w:rPr>
                <w:sz w:val="18"/>
              </w:rPr>
              <w:t>Dr. Nora Wedekind, Leiterin Recht; Paul Steinmark, externer Compliance-Beauftragter</w:t>
            </w:r>
          </w:p>
        </w:tc>
      </w:tr>
      <w:tr>
        <w:tc>
          <w:tcPr>
            <w:tcW w:type="dxa" w:w="2268"/>
            <w:shd w:fill="EAF1F5"/>
            <w:tcMar>
              <w:top w:w="90" w:type="dxa"/>
              <w:start w:w="90" w:type="dxa"/>
              <w:bottom w:w="90" w:type="dxa"/>
              <w:end w:w="90" w:type="dxa"/>
            </w:tcMar>
            <w:vAlign w:val="center"/>
          </w:tcPr>
          <w:p>
            <w:pPr>
              <w:spacing w:after="0"/>
            </w:pPr>
            <w:r>
              <w:rPr>
                <w:b/>
                <w:sz w:val="18"/>
              </w:rPr>
              <w:t>Meldestelle</w:t>
            </w:r>
          </w:p>
        </w:tc>
        <w:tc>
          <w:tcPr>
            <w:tcW w:type="dxa" w:w="7200"/>
            <w:tcMar>
              <w:top w:w="90" w:type="dxa"/>
              <w:start w:w="90" w:type="dxa"/>
              <w:bottom w:w="90" w:type="dxa"/>
              <w:end w:w="90" w:type="dxa"/>
            </w:tcMar>
            <w:vAlign w:val="center"/>
          </w:tcPr>
          <w:p>
            <w:pPr>
              <w:spacing w:after="0"/>
            </w:pPr>
            <w:r>
              <w:rPr>
                <w:sz w:val="18"/>
              </w:rPr>
              <w:t>Interne Referenz HIN-26-014; Erstmeldung 22. Mai 2026; Nachreichung 30. Mai 2026</w:t>
            </w:r>
          </w:p>
        </w:tc>
      </w:tr>
      <w:tr>
        <w:tc>
          <w:tcPr>
            <w:tcW w:type="dxa" w:w="2268"/>
            <w:shd w:fill="EAF1F5"/>
            <w:tcMar>
              <w:top w:w="90" w:type="dxa"/>
              <w:start w:w="90" w:type="dxa"/>
              <w:bottom w:w="90" w:type="dxa"/>
              <w:end w:w="90" w:type="dxa"/>
            </w:tcMar>
            <w:vAlign w:val="center"/>
          </w:tcPr>
          <w:p>
            <w:pPr>
              <w:spacing w:after="0"/>
            </w:pPr>
            <w:r>
              <w:rPr>
                <w:b/>
                <w:sz w:val="18"/>
              </w:rPr>
              <w:t>Sachbearbeitung</w:t>
            </w:r>
          </w:p>
        </w:tc>
        <w:tc>
          <w:tcPr>
            <w:tcW w:type="dxa" w:w="7200"/>
            <w:tcMar>
              <w:top w:w="90" w:type="dxa"/>
              <w:start w:w="90" w:type="dxa"/>
              <w:bottom w:w="90" w:type="dxa"/>
              <w:end w:w="90" w:type="dxa"/>
            </w:tcMar>
            <w:vAlign w:val="center"/>
          </w:tcPr>
          <w:p>
            <w:pPr>
              <w:spacing w:after="0"/>
            </w:pPr>
            <w:r>
              <w:rPr>
                <w:sz w:val="18"/>
              </w:rPr>
              <w:t>Rechtsanwältin Dr. Anja Brettschneider; Rechtsanwalt David Holländer</w:t>
            </w:r>
          </w:p>
        </w:tc>
      </w:tr>
    </w:tbl>
    <w:p>
      <w:pPr>
        <w:spacing w:after="20"/>
      </w:pPr>
    </w:p>
    <w:p>
      <w:pPr>
        <w:pStyle w:val="Heading1"/>
      </w:pPr>
      <w:r>
        <w:t>1. Gesprächsanlass</w:t>
      </w:r>
    </w:p>
    <w:p>
      <w:pPr>
        <w:widowControl/>
      </w:pPr>
      <w:r>
        <w:t>Die interne Meldestelle erhielt über das Portal eine anonyme Meldung zu drei voneinander zu trennenden Vorgängen: fehlende Prüfunterlagen für ein Diagnostikmodul, mögliche Lieferungen an einen gesperrten Vertriebsmittler und Druck auf Beschäftigte, Freigabevermerke rückzudatieren. Parallel verhandelt die Gesellschaft unter dem Projektnamen „Eibenwald“ über den Einstieg der Delphin Capital GmbH; deren NDA-Entwurf erfasst auch Behördenkontakte und interne Meldungen.</w:t>
      </w:r>
    </w:p>
    <w:p>
      <w:pPr>
        <w:widowControl/>
      </w:pPr>
      <w:r>
        <w:t>Die Geschäftsleitung verlangt bis zum 5. Juni 2026 einen belastbaren Tatsachen- und Maßnahmenstand. Die Meldestelle hat den Eingang am 24. Mai 2026 bestätigt. Die hinweisgebende Person nutzte am 30. Mai den Rückkanal erneut und benannte zwei Speicherorte sowie eine Kollegin als mögliche Auskunftsperson.</w:t>
      </w:r>
    </w:p>
    <w:p>
      <w:pPr>
        <w:pStyle w:val="Heading1"/>
      </w:pPr>
      <w:r>
        <w:t>2. Bekannte Beteiligte und Rollen</w:t>
      </w:r>
    </w:p>
    <w:tbl>
      <w:tblPr>
        <w:tblStyle w:val="TableGrid"/>
        <w:tblW w:type="auto" w:w="0"/>
        <w:tblLayout w:type="fixed"/>
        <w:tblLook w:firstColumn="1" w:firstRow="1" w:lastColumn="0" w:lastRow="0" w:noHBand="0" w:noVBand="1" w:val="04A0"/>
      </w:tblPr>
      <w:tblGrid>
        <w:gridCol w:w="2381"/>
        <w:gridCol w:w="2324"/>
        <w:gridCol w:w="2551"/>
        <w:gridCol w:w="2494"/>
      </w:tblGrid>
      <w:tr>
        <w:tc>
          <w:tcPr>
            <w:tcW w:type="dxa" w:w="2395"/>
            <w:shd w:fill="17324D"/>
            <w:tcMar>
              <w:top w:w="90" w:type="dxa"/>
              <w:start w:w="90" w:type="dxa"/>
              <w:bottom w:w="90" w:type="dxa"/>
              <w:end w:w="90" w:type="dxa"/>
            </w:tcMar>
          </w:tcPr>
          <w:p>
            <w:r>
              <w:rPr>
                <w:b/>
                <w:color w:val="FFFFFF"/>
                <w:sz w:val="17"/>
              </w:rPr>
              <w:t>Person oder Stelle</w:t>
            </w:r>
          </w:p>
        </w:tc>
        <w:tc>
          <w:tcPr>
            <w:tcW w:type="dxa" w:w="2395"/>
            <w:shd w:fill="17324D"/>
            <w:tcMar>
              <w:top w:w="90" w:type="dxa"/>
              <w:start w:w="90" w:type="dxa"/>
              <w:bottom w:w="90" w:type="dxa"/>
              <w:end w:w="90" w:type="dxa"/>
            </w:tcMar>
          </w:tcPr>
          <w:p>
            <w:r>
              <w:rPr>
                <w:b/>
                <w:color w:val="FFFFFF"/>
                <w:sz w:val="17"/>
              </w:rPr>
              <w:t>Rolle</w:t>
            </w:r>
          </w:p>
        </w:tc>
        <w:tc>
          <w:tcPr>
            <w:tcW w:type="dxa" w:w="2395"/>
            <w:shd w:fill="17324D"/>
            <w:tcMar>
              <w:top w:w="90" w:type="dxa"/>
              <w:start w:w="90" w:type="dxa"/>
              <w:bottom w:w="90" w:type="dxa"/>
              <w:end w:w="90" w:type="dxa"/>
            </w:tcMar>
          </w:tcPr>
          <w:p>
            <w:r>
              <w:rPr>
                <w:b/>
                <w:color w:val="FFFFFF"/>
                <w:sz w:val="17"/>
              </w:rPr>
              <w:t>Bisheriger Kontakt</w:t>
            </w:r>
          </w:p>
        </w:tc>
        <w:tc>
          <w:tcPr>
            <w:tcW w:type="dxa" w:w="2395"/>
            <w:shd w:fill="17324D"/>
            <w:tcMar>
              <w:top w:w="90" w:type="dxa"/>
              <w:start w:w="90" w:type="dxa"/>
              <w:bottom w:w="90" w:type="dxa"/>
              <w:end w:w="90" w:type="dxa"/>
            </w:tcMar>
          </w:tcPr>
          <w:p>
            <w:r>
              <w:rPr>
                <w:b/>
                <w:color w:val="FFFFFF"/>
                <w:sz w:val="17"/>
              </w:rPr>
              <w:t>Abgrenzungsbedarf</w:t>
            </w:r>
          </w:p>
        </w:tc>
      </w:tr>
      <w:tr>
        <w:tc>
          <w:tcPr>
            <w:tcW w:type="dxa" w:w="2381"/>
            <w:tcMar>
              <w:top w:w="90" w:type="dxa"/>
              <w:start w:w="90" w:type="dxa"/>
              <w:bottom w:w="90" w:type="dxa"/>
              <w:end w:w="90" w:type="dxa"/>
            </w:tcMar>
            <w:vAlign w:val="top"/>
          </w:tcPr>
          <w:p>
            <w:pPr>
              <w:spacing w:after="0"/>
            </w:pPr>
            <w:r>
              <w:rPr>
                <w:sz w:val="16"/>
              </w:rPr>
              <w:t>Dr. Nora Wedekind</w:t>
            </w:r>
          </w:p>
        </w:tc>
        <w:tc>
          <w:tcPr>
            <w:tcW w:type="dxa" w:w="2324"/>
            <w:tcMar>
              <w:top w:w="90" w:type="dxa"/>
              <w:start w:w="90" w:type="dxa"/>
              <w:bottom w:w="90" w:type="dxa"/>
              <w:end w:w="90" w:type="dxa"/>
            </w:tcMar>
            <w:vAlign w:val="top"/>
          </w:tcPr>
          <w:p>
            <w:pPr>
              <w:spacing w:after="0"/>
            </w:pPr>
            <w:r>
              <w:rPr>
                <w:sz w:val="16"/>
              </w:rPr>
              <w:t>Leitung Recht</w:t>
            </w:r>
          </w:p>
        </w:tc>
        <w:tc>
          <w:tcPr>
            <w:tcW w:type="dxa" w:w="2551"/>
            <w:tcMar>
              <w:top w:w="90" w:type="dxa"/>
              <w:start w:w="90" w:type="dxa"/>
              <w:bottom w:w="90" w:type="dxa"/>
              <w:end w:w="90" w:type="dxa"/>
            </w:tcMar>
            <w:vAlign w:val="top"/>
          </w:tcPr>
          <w:p>
            <w:pPr>
              <w:spacing w:after="0"/>
            </w:pPr>
            <w:r>
              <w:rPr>
                <w:sz w:val="16"/>
              </w:rPr>
              <w:t>Mandatsgespräch und Dokumentenübergabe</w:t>
            </w:r>
          </w:p>
        </w:tc>
        <w:tc>
          <w:tcPr>
            <w:tcW w:type="dxa" w:w="2494"/>
            <w:tcMar>
              <w:top w:w="90" w:type="dxa"/>
              <w:start w:w="90" w:type="dxa"/>
              <w:bottom w:w="90" w:type="dxa"/>
              <w:end w:w="90" w:type="dxa"/>
            </w:tcMar>
            <w:vAlign w:val="top"/>
          </w:tcPr>
          <w:p>
            <w:pPr>
              <w:spacing w:after="0"/>
            </w:pPr>
            <w:r>
              <w:rPr>
                <w:sz w:val="16"/>
              </w:rPr>
              <w:t>Nicht zugleich alleinige Untersuchungsleitung und Freigabestelle</w:t>
            </w:r>
          </w:p>
        </w:tc>
      </w:tr>
      <w:tr>
        <w:tc>
          <w:tcPr>
            <w:tcW w:type="dxa" w:w="2381"/>
            <w:tcMar>
              <w:top w:w="90" w:type="dxa"/>
              <w:start w:w="90" w:type="dxa"/>
              <w:bottom w:w="90" w:type="dxa"/>
              <w:end w:w="90" w:type="dxa"/>
            </w:tcMar>
            <w:vAlign w:val="top"/>
            <w:shd w:fill="F5F7F8"/>
          </w:tcPr>
          <w:p>
            <w:pPr>
              <w:spacing w:after="0"/>
            </w:pPr>
            <w:r>
              <w:rPr>
                <w:sz w:val="16"/>
              </w:rPr>
              <w:t>Paul Steinmark</w:t>
            </w:r>
          </w:p>
        </w:tc>
        <w:tc>
          <w:tcPr>
            <w:tcW w:type="dxa" w:w="2324"/>
            <w:tcMar>
              <w:top w:w="90" w:type="dxa"/>
              <w:start w:w="90" w:type="dxa"/>
              <w:bottom w:w="90" w:type="dxa"/>
              <w:end w:w="90" w:type="dxa"/>
            </w:tcMar>
            <w:vAlign w:val="top"/>
            <w:shd w:fill="F5F7F8"/>
          </w:tcPr>
          <w:p>
            <w:pPr>
              <w:spacing w:after="0"/>
            </w:pPr>
            <w:r>
              <w:rPr>
                <w:sz w:val="16"/>
              </w:rPr>
              <w:t>Externer Compliance-Beauftragter</w:t>
            </w:r>
          </w:p>
        </w:tc>
        <w:tc>
          <w:tcPr>
            <w:tcW w:type="dxa" w:w="2551"/>
            <w:tcMar>
              <w:top w:w="90" w:type="dxa"/>
              <w:start w:w="90" w:type="dxa"/>
              <w:bottom w:w="90" w:type="dxa"/>
              <w:end w:w="90" w:type="dxa"/>
            </w:tcMar>
            <w:vAlign w:val="top"/>
            <w:shd w:fill="F5F7F8"/>
          </w:tcPr>
          <w:p>
            <w:pPr>
              <w:spacing w:after="0"/>
            </w:pPr>
            <w:r>
              <w:rPr>
                <w:sz w:val="16"/>
              </w:rPr>
              <w:t>Triage der Erstmeldung</w:t>
            </w:r>
          </w:p>
        </w:tc>
        <w:tc>
          <w:tcPr>
            <w:tcW w:type="dxa" w:w="2494"/>
            <w:tcMar>
              <w:top w:w="90" w:type="dxa"/>
              <w:start w:w="90" w:type="dxa"/>
              <w:bottom w:w="90" w:type="dxa"/>
              <w:end w:w="90" w:type="dxa"/>
            </w:tcMar>
            <w:vAlign w:val="top"/>
            <w:shd w:fill="F5F7F8"/>
          </w:tcPr>
          <w:p>
            <w:pPr>
              <w:spacing w:after="0"/>
            </w:pPr>
            <w:r>
              <w:rPr>
                <w:sz w:val="16"/>
              </w:rPr>
              <w:t>Zugriffsrechte und Weisungsweg dokumentieren</w:t>
            </w:r>
          </w:p>
        </w:tc>
      </w:tr>
      <w:tr>
        <w:tc>
          <w:tcPr>
            <w:tcW w:type="dxa" w:w="2381"/>
            <w:tcMar>
              <w:top w:w="90" w:type="dxa"/>
              <w:start w:w="90" w:type="dxa"/>
              <w:bottom w:w="90" w:type="dxa"/>
              <w:end w:w="90" w:type="dxa"/>
            </w:tcMar>
            <w:vAlign w:val="top"/>
          </w:tcPr>
          <w:p>
            <w:pPr>
              <w:spacing w:after="0"/>
            </w:pPr>
            <w:r>
              <w:rPr>
                <w:sz w:val="16"/>
              </w:rPr>
              <w:t>Dr. Ralf Holländer</w:t>
            </w:r>
          </w:p>
        </w:tc>
        <w:tc>
          <w:tcPr>
            <w:tcW w:type="dxa" w:w="2324"/>
            <w:tcMar>
              <w:top w:w="90" w:type="dxa"/>
              <w:start w:w="90" w:type="dxa"/>
              <w:bottom w:w="90" w:type="dxa"/>
              <w:end w:w="90" w:type="dxa"/>
            </w:tcMar>
            <w:vAlign w:val="top"/>
          </w:tcPr>
          <w:p>
            <w:pPr>
              <w:spacing w:after="0"/>
            </w:pPr>
            <w:r>
              <w:rPr>
                <w:sz w:val="16"/>
              </w:rPr>
              <w:t>Leiter interne Meldestelle</w:t>
            </w:r>
          </w:p>
        </w:tc>
        <w:tc>
          <w:tcPr>
            <w:tcW w:type="dxa" w:w="2551"/>
            <w:tcMar>
              <w:top w:w="90" w:type="dxa"/>
              <w:start w:w="90" w:type="dxa"/>
              <w:bottom w:w="90" w:type="dxa"/>
              <w:end w:w="90" w:type="dxa"/>
            </w:tcMar>
            <w:vAlign w:val="top"/>
          </w:tcPr>
          <w:p>
            <w:pPr>
              <w:spacing w:after="0"/>
            </w:pPr>
            <w:r>
              <w:rPr>
                <w:sz w:val="16"/>
              </w:rPr>
              <w:t>Empfangsbestätigung und Rückkanal</w:t>
            </w:r>
          </w:p>
        </w:tc>
        <w:tc>
          <w:tcPr>
            <w:tcW w:type="dxa" w:w="2494"/>
            <w:tcMar>
              <w:top w:w="90" w:type="dxa"/>
              <w:start w:w="90" w:type="dxa"/>
              <w:bottom w:w="90" w:type="dxa"/>
              <w:end w:w="90" w:type="dxa"/>
            </w:tcMar>
            <w:vAlign w:val="top"/>
          </w:tcPr>
          <w:p>
            <w:pPr>
              <w:spacing w:after="0"/>
            </w:pPr>
            <w:r>
              <w:rPr>
                <w:sz w:val="16"/>
              </w:rPr>
              <w:t>Identitätsdaten getrennt halten</w:t>
            </w:r>
          </w:p>
        </w:tc>
      </w:tr>
      <w:tr>
        <w:tc>
          <w:tcPr>
            <w:tcW w:type="dxa" w:w="2381"/>
            <w:tcMar>
              <w:top w:w="90" w:type="dxa"/>
              <w:start w:w="90" w:type="dxa"/>
              <w:bottom w:w="90" w:type="dxa"/>
              <w:end w:w="90" w:type="dxa"/>
            </w:tcMar>
            <w:vAlign w:val="top"/>
            <w:shd w:fill="F5F7F8"/>
          </w:tcPr>
          <w:p>
            <w:pPr>
              <w:spacing w:after="0"/>
            </w:pPr>
            <w:r>
              <w:rPr>
                <w:sz w:val="16"/>
              </w:rPr>
              <w:t>Miriam Ahlers</w:t>
            </w:r>
          </w:p>
        </w:tc>
        <w:tc>
          <w:tcPr>
            <w:tcW w:type="dxa" w:w="2324"/>
            <w:tcMar>
              <w:top w:w="90" w:type="dxa"/>
              <w:start w:w="90" w:type="dxa"/>
              <w:bottom w:w="90" w:type="dxa"/>
              <w:end w:w="90" w:type="dxa"/>
            </w:tcMar>
            <w:vAlign w:val="top"/>
            <w:shd w:fill="F5F7F8"/>
          </w:tcPr>
          <w:p>
            <w:pPr>
              <w:spacing w:after="0"/>
            </w:pPr>
            <w:r>
              <w:rPr>
                <w:sz w:val="16"/>
              </w:rPr>
              <w:t>Leitung Regulatory Affairs</w:t>
            </w:r>
          </w:p>
        </w:tc>
        <w:tc>
          <w:tcPr>
            <w:tcW w:type="dxa" w:w="2551"/>
            <w:tcMar>
              <w:top w:w="90" w:type="dxa"/>
              <w:start w:w="90" w:type="dxa"/>
              <w:bottom w:w="90" w:type="dxa"/>
              <w:end w:w="90" w:type="dxa"/>
            </w:tcMar>
            <w:vAlign w:val="top"/>
            <w:shd w:fill="F5F7F8"/>
          </w:tcPr>
          <w:p>
            <w:pPr>
              <w:spacing w:after="0"/>
            </w:pPr>
            <w:r>
              <w:rPr>
                <w:sz w:val="16"/>
              </w:rPr>
              <w:t>In der Meldung genannt</w:t>
            </w:r>
          </w:p>
        </w:tc>
        <w:tc>
          <w:tcPr>
            <w:tcW w:type="dxa" w:w="2494"/>
            <w:tcMar>
              <w:top w:w="90" w:type="dxa"/>
              <w:start w:w="90" w:type="dxa"/>
              <w:bottom w:w="90" w:type="dxa"/>
              <w:end w:w="90" w:type="dxa"/>
            </w:tcMar>
            <w:vAlign w:val="top"/>
            <w:shd w:fill="F5F7F8"/>
          </w:tcPr>
          <w:p>
            <w:pPr>
              <w:spacing w:after="0"/>
            </w:pPr>
            <w:r>
              <w:rPr>
                <w:sz w:val="16"/>
              </w:rPr>
              <w:t>Interview erst nach Dokumentensicherung</w:t>
            </w:r>
          </w:p>
        </w:tc>
      </w:tr>
      <w:tr>
        <w:tc>
          <w:tcPr>
            <w:tcW w:type="dxa" w:w="2381"/>
            <w:tcMar>
              <w:top w:w="90" w:type="dxa"/>
              <w:start w:w="90" w:type="dxa"/>
              <w:bottom w:w="90" w:type="dxa"/>
              <w:end w:w="90" w:type="dxa"/>
            </w:tcMar>
            <w:vAlign w:val="top"/>
          </w:tcPr>
          <w:p>
            <w:pPr>
              <w:spacing w:after="0"/>
            </w:pPr>
            <w:r>
              <w:rPr>
                <w:sz w:val="16"/>
              </w:rPr>
              <w:t>Tobias Kern</w:t>
            </w:r>
          </w:p>
        </w:tc>
        <w:tc>
          <w:tcPr>
            <w:tcW w:type="dxa" w:w="2324"/>
            <w:tcMar>
              <w:top w:w="90" w:type="dxa"/>
              <w:start w:w="90" w:type="dxa"/>
              <w:bottom w:w="90" w:type="dxa"/>
              <w:end w:w="90" w:type="dxa"/>
            </w:tcMar>
            <w:vAlign w:val="top"/>
          </w:tcPr>
          <w:p>
            <w:pPr>
              <w:spacing w:after="0"/>
            </w:pPr>
            <w:r>
              <w:rPr>
                <w:sz w:val="16"/>
              </w:rPr>
              <w:t>Leitung Vertrieb International</w:t>
            </w:r>
          </w:p>
        </w:tc>
        <w:tc>
          <w:tcPr>
            <w:tcW w:type="dxa" w:w="2551"/>
            <w:tcMar>
              <w:top w:w="90" w:type="dxa"/>
              <w:start w:w="90" w:type="dxa"/>
              <w:bottom w:w="90" w:type="dxa"/>
              <w:end w:w="90" w:type="dxa"/>
            </w:tcMar>
            <w:vAlign w:val="top"/>
          </w:tcPr>
          <w:p>
            <w:pPr>
              <w:spacing w:after="0"/>
            </w:pPr>
            <w:r>
              <w:rPr>
                <w:sz w:val="16"/>
              </w:rPr>
              <w:t>Bonusentscheidung vorbereitet</w:t>
            </w:r>
          </w:p>
        </w:tc>
        <w:tc>
          <w:tcPr>
            <w:tcW w:type="dxa" w:w="2494"/>
            <w:tcMar>
              <w:top w:w="90" w:type="dxa"/>
              <w:start w:w="90" w:type="dxa"/>
              <w:bottom w:w="90" w:type="dxa"/>
              <w:end w:w="90" w:type="dxa"/>
            </w:tcMar>
            <w:vAlign w:val="top"/>
          </w:tcPr>
          <w:p>
            <w:pPr>
              <w:spacing w:after="0"/>
            </w:pPr>
            <w:r>
              <w:rPr>
                <w:sz w:val="16"/>
              </w:rPr>
              <w:t>Vorakten und Zielvereinbarung sichern</w:t>
            </w:r>
          </w:p>
        </w:tc>
      </w:tr>
      <w:tr>
        <w:tc>
          <w:tcPr>
            <w:tcW w:type="dxa" w:w="2381"/>
            <w:tcMar>
              <w:top w:w="90" w:type="dxa"/>
              <w:start w:w="90" w:type="dxa"/>
              <w:bottom w:w="90" w:type="dxa"/>
              <w:end w:w="90" w:type="dxa"/>
            </w:tcMar>
            <w:vAlign w:val="top"/>
            <w:shd w:fill="F5F7F8"/>
          </w:tcPr>
          <w:p>
            <w:pPr>
              <w:spacing w:after="0"/>
            </w:pPr>
            <w:r>
              <w:rPr>
                <w:sz w:val="16"/>
              </w:rPr>
              <w:t>Delphin Capital GmbH</w:t>
            </w:r>
          </w:p>
        </w:tc>
        <w:tc>
          <w:tcPr>
            <w:tcW w:type="dxa" w:w="2324"/>
            <w:tcMar>
              <w:top w:w="90" w:type="dxa"/>
              <w:start w:w="90" w:type="dxa"/>
              <w:bottom w:w="90" w:type="dxa"/>
              <w:end w:w="90" w:type="dxa"/>
            </w:tcMar>
            <w:vAlign w:val="top"/>
            <w:shd w:fill="F5F7F8"/>
          </w:tcPr>
          <w:p>
            <w:pPr>
              <w:spacing w:after="0"/>
            </w:pPr>
            <w:r>
              <w:rPr>
                <w:sz w:val="16"/>
              </w:rPr>
              <w:t>Interessentin Projekt Eibenwald</w:t>
            </w:r>
          </w:p>
        </w:tc>
        <w:tc>
          <w:tcPr>
            <w:tcW w:type="dxa" w:w="2551"/>
            <w:tcMar>
              <w:top w:w="90" w:type="dxa"/>
              <w:start w:w="90" w:type="dxa"/>
              <w:bottom w:w="90" w:type="dxa"/>
              <w:end w:w="90" w:type="dxa"/>
            </w:tcMar>
            <w:vAlign w:val="top"/>
            <w:shd w:fill="F5F7F8"/>
          </w:tcPr>
          <w:p>
            <w:pPr>
              <w:spacing w:after="0"/>
            </w:pPr>
            <w:r>
              <w:rPr>
                <w:sz w:val="16"/>
              </w:rPr>
              <w:t>NDA-Entwurf und Datenraumfragen</w:t>
            </w:r>
          </w:p>
        </w:tc>
        <w:tc>
          <w:tcPr>
            <w:tcW w:type="dxa" w:w="2494"/>
            <w:tcMar>
              <w:top w:w="90" w:type="dxa"/>
              <w:start w:w="90" w:type="dxa"/>
              <w:bottom w:w="90" w:type="dxa"/>
              <w:end w:w="90" w:type="dxa"/>
            </w:tcMar>
            <w:vAlign w:val="top"/>
            <w:shd w:fill="F5F7F8"/>
          </w:tcPr>
          <w:p>
            <w:pPr>
              <w:spacing w:after="0"/>
            </w:pPr>
            <w:r>
              <w:rPr>
                <w:sz w:val="16"/>
              </w:rPr>
              <w:t>Deal-Kommunikation von Meldestellenakte trennen</w:t>
            </w:r>
          </w:p>
        </w:tc>
      </w:tr>
    </w:tbl>
    <w:p>
      <w:pPr>
        <w:spacing w:after="20"/>
      </w:pPr>
    </w:p>
    <w:p>
      <w:pPr>
        <w:pStyle w:val="Heading1"/>
      </w:pPr>
      <w:r>
        <w:t>3. Übergebene Unterlagen</w:t>
      </w:r>
    </w:p>
    <w:p>
      <w:pPr>
        <w:widowControl/>
      </w:pPr>
      <w:r>
        <w:t>Übergeben wurden der Portalexport der Erstmeldung, die Nachreichung, der NDA-Entwurf, eine Triage-Tabelle, zwei E-Mails, ein Chatbild, der derzeitige Untersuchungsplan und ein technischer Kurzbericht zum Meldeportal. Die Original-Logdatei des Portals, das Berechtigungskonzept und die Bonusakte von Tobias Kern fehlen.</w:t>
      </w:r>
    </w:p>
    <w:p>
      <w:pPr>
        <w:widowControl/>
      </w:pPr>
      <w:r>
        <w:t>Die anonymisierte Meldung nennt das Dokument „RA-Q4-Release-Final.pdf“. Im Datenraum existieren drei Dateien mit ähnlichem Namen und unterschiedlichen Zeitstempeln. Keine Fassung wird vor Hash- und Versionsabgleich als maßgeblich behandelt.</w:t>
      </w:r>
    </w:p>
    <w:p>
      <w:pPr>
        <w:pStyle w:val="Heading1"/>
      </w:pPr>
      <w:r>
        <w:t>4. Arbeitsauftrag</w:t>
      </w:r>
    </w:p>
    <w:tbl>
      <w:tblPr>
        <w:tblStyle w:val="TableGrid"/>
        <w:tblW w:type="auto" w:w="0"/>
        <w:tblLayout w:type="fixed"/>
        <w:tblLook w:firstColumn="1" w:firstRow="1" w:lastColumn="0" w:lastRow="0" w:noHBand="0" w:noVBand="1" w:val="04A0"/>
      </w:tblPr>
      <w:tblGrid>
        <w:gridCol w:w="2948"/>
        <w:gridCol w:w="1928"/>
        <w:gridCol w:w="1984"/>
        <w:gridCol w:w="3061"/>
      </w:tblGrid>
      <w:tr>
        <w:tc>
          <w:tcPr>
            <w:tcW w:type="dxa" w:w="2395"/>
            <w:shd w:fill="17324D"/>
            <w:tcMar>
              <w:top w:w="90" w:type="dxa"/>
              <w:start w:w="90" w:type="dxa"/>
              <w:bottom w:w="90" w:type="dxa"/>
              <w:end w:w="90" w:type="dxa"/>
            </w:tcMar>
          </w:tcPr>
          <w:p>
            <w:r>
              <w:rPr>
                <w:b/>
                <w:color w:val="FFFFFF"/>
                <w:sz w:val="17"/>
              </w:rPr>
              <w:t>Arbeitspaket</w:t>
            </w:r>
          </w:p>
        </w:tc>
        <w:tc>
          <w:tcPr>
            <w:tcW w:type="dxa" w:w="2395"/>
            <w:shd w:fill="17324D"/>
            <w:tcMar>
              <w:top w:w="90" w:type="dxa"/>
              <w:start w:w="90" w:type="dxa"/>
              <w:bottom w:w="90" w:type="dxa"/>
              <w:end w:w="90" w:type="dxa"/>
            </w:tcMar>
          </w:tcPr>
          <w:p>
            <w:r>
              <w:rPr>
                <w:b/>
                <w:color w:val="FFFFFF"/>
                <w:sz w:val="17"/>
              </w:rPr>
              <w:t>Verantwortlich</w:t>
            </w:r>
          </w:p>
        </w:tc>
        <w:tc>
          <w:tcPr>
            <w:tcW w:type="dxa" w:w="2395"/>
            <w:shd w:fill="17324D"/>
            <w:tcMar>
              <w:top w:w="90" w:type="dxa"/>
              <w:start w:w="90" w:type="dxa"/>
              <w:bottom w:w="90" w:type="dxa"/>
              <w:end w:w="90" w:type="dxa"/>
            </w:tcMar>
          </w:tcPr>
          <w:p>
            <w:r>
              <w:rPr>
                <w:b/>
                <w:color w:val="FFFFFF"/>
                <w:sz w:val="17"/>
              </w:rPr>
              <w:t>Termin</w:t>
            </w:r>
          </w:p>
        </w:tc>
        <w:tc>
          <w:tcPr>
            <w:tcW w:type="dxa" w:w="2395"/>
            <w:shd w:fill="17324D"/>
            <w:tcMar>
              <w:top w:w="90" w:type="dxa"/>
              <w:start w:w="90" w:type="dxa"/>
              <w:bottom w:w="90" w:type="dxa"/>
              <w:end w:w="90" w:type="dxa"/>
            </w:tcMar>
          </w:tcPr>
          <w:p>
            <w:r>
              <w:rPr>
                <w:b/>
                <w:color w:val="FFFFFF"/>
                <w:sz w:val="17"/>
              </w:rPr>
              <w:t>Ausgabe</w:t>
            </w:r>
          </w:p>
        </w:tc>
      </w:tr>
      <w:tr>
        <w:tc>
          <w:tcPr>
            <w:tcW w:type="dxa" w:w="2948"/>
            <w:tcMar>
              <w:top w:w="90" w:type="dxa"/>
              <w:start w:w="90" w:type="dxa"/>
              <w:bottom w:w="90" w:type="dxa"/>
              <w:end w:w="90" w:type="dxa"/>
            </w:tcMar>
            <w:vAlign w:val="top"/>
          </w:tcPr>
          <w:p>
            <w:pPr>
              <w:spacing w:after="0"/>
            </w:pPr>
            <w:r>
              <w:rPr>
                <w:sz w:val="16"/>
              </w:rPr>
              <w:t>Portalexport und Audit Trail unverändert sichern</w:t>
            </w:r>
          </w:p>
        </w:tc>
        <w:tc>
          <w:tcPr>
            <w:tcW w:type="dxa" w:w="1928"/>
            <w:tcMar>
              <w:top w:w="90" w:type="dxa"/>
              <w:start w:w="90" w:type="dxa"/>
              <w:bottom w:w="90" w:type="dxa"/>
              <w:end w:w="90" w:type="dxa"/>
            </w:tcMar>
            <w:vAlign w:val="top"/>
          </w:tcPr>
          <w:p>
            <w:pPr>
              <w:spacing w:after="0"/>
            </w:pPr>
            <w:r>
              <w:rPr>
                <w:sz w:val="16"/>
              </w:rPr>
              <w:t>IT / Meldestelle</w:t>
            </w:r>
          </w:p>
        </w:tc>
        <w:tc>
          <w:tcPr>
            <w:tcW w:type="dxa" w:w="1984"/>
            <w:tcMar>
              <w:top w:w="90" w:type="dxa"/>
              <w:start w:w="90" w:type="dxa"/>
              <w:bottom w:w="90" w:type="dxa"/>
              <w:end w:w="90" w:type="dxa"/>
            </w:tcMar>
            <w:vAlign w:val="top"/>
          </w:tcPr>
          <w:p>
            <w:pPr>
              <w:spacing w:after="0"/>
            </w:pPr>
            <w:r>
              <w:rPr>
                <w:sz w:val="16"/>
              </w:rPr>
              <w:t>1. Juni 2026, 14:00 Uhr</w:t>
            </w:r>
          </w:p>
        </w:tc>
        <w:tc>
          <w:tcPr>
            <w:tcW w:type="dxa" w:w="3061"/>
            <w:tcMar>
              <w:top w:w="90" w:type="dxa"/>
              <w:start w:w="90" w:type="dxa"/>
              <w:bottom w:w="90" w:type="dxa"/>
              <w:end w:w="90" w:type="dxa"/>
            </w:tcMar>
            <w:vAlign w:val="top"/>
          </w:tcPr>
          <w:p>
            <w:pPr>
              <w:spacing w:after="0"/>
            </w:pPr>
            <w:r>
              <w:rPr>
                <w:sz w:val="16"/>
              </w:rPr>
              <w:t>Hashliste, Zugriffsprotokoll und Verwahrort</w:t>
            </w:r>
          </w:p>
        </w:tc>
      </w:tr>
      <w:tr>
        <w:tc>
          <w:tcPr>
            <w:tcW w:type="dxa" w:w="2948"/>
            <w:tcMar>
              <w:top w:w="90" w:type="dxa"/>
              <w:start w:w="90" w:type="dxa"/>
              <w:bottom w:w="90" w:type="dxa"/>
              <w:end w:w="90" w:type="dxa"/>
            </w:tcMar>
            <w:vAlign w:val="top"/>
            <w:shd w:fill="F5F7F8"/>
          </w:tcPr>
          <w:p>
            <w:pPr>
              <w:spacing w:after="0"/>
            </w:pPr>
            <w:r>
              <w:rPr>
                <w:sz w:val="16"/>
              </w:rPr>
              <w:t>Sachverhaltskomplexe und Personen trennen</w:t>
            </w:r>
          </w:p>
        </w:tc>
        <w:tc>
          <w:tcPr>
            <w:tcW w:type="dxa" w:w="1928"/>
            <w:tcMar>
              <w:top w:w="90" w:type="dxa"/>
              <w:start w:w="90" w:type="dxa"/>
              <w:bottom w:w="90" w:type="dxa"/>
              <w:end w:w="90" w:type="dxa"/>
            </w:tcMar>
            <w:vAlign w:val="top"/>
            <w:shd w:fill="F5F7F8"/>
          </w:tcPr>
          <w:p>
            <w:pPr>
              <w:spacing w:after="0"/>
            </w:pPr>
            <w:r>
              <w:rPr>
                <w:sz w:val="16"/>
              </w:rPr>
              <w:t>BH Rechtsanwälte</w:t>
            </w:r>
          </w:p>
        </w:tc>
        <w:tc>
          <w:tcPr>
            <w:tcW w:type="dxa" w:w="1984"/>
            <w:tcMar>
              <w:top w:w="90" w:type="dxa"/>
              <w:start w:w="90" w:type="dxa"/>
              <w:bottom w:w="90" w:type="dxa"/>
              <w:end w:w="90" w:type="dxa"/>
            </w:tcMar>
            <w:vAlign w:val="top"/>
            <w:shd w:fill="F5F7F8"/>
          </w:tcPr>
          <w:p>
            <w:pPr>
              <w:spacing w:after="0"/>
            </w:pPr>
            <w:r>
              <w:rPr>
                <w:sz w:val="16"/>
              </w:rPr>
              <w:t>2. Juni 2026</w:t>
            </w:r>
          </w:p>
        </w:tc>
        <w:tc>
          <w:tcPr>
            <w:tcW w:type="dxa" w:w="3061"/>
            <w:tcMar>
              <w:top w:w="90" w:type="dxa"/>
              <w:start w:w="90" w:type="dxa"/>
              <w:bottom w:w="90" w:type="dxa"/>
              <w:end w:w="90" w:type="dxa"/>
            </w:tcMar>
            <w:vAlign w:val="top"/>
            <w:shd w:fill="F5F7F8"/>
          </w:tcPr>
          <w:p>
            <w:pPr>
              <w:spacing w:after="0"/>
            </w:pPr>
            <w:r>
              <w:rPr>
                <w:sz w:val="16"/>
              </w:rPr>
              <w:t>Ereignis- und Belegmatrix</w:t>
            </w:r>
          </w:p>
        </w:tc>
      </w:tr>
      <w:tr>
        <w:tc>
          <w:tcPr>
            <w:tcW w:type="dxa" w:w="2948"/>
            <w:tcMar>
              <w:top w:w="90" w:type="dxa"/>
              <w:start w:w="90" w:type="dxa"/>
              <w:bottom w:w="90" w:type="dxa"/>
              <w:end w:w="90" w:type="dxa"/>
            </w:tcMar>
            <w:vAlign w:val="top"/>
          </w:tcPr>
          <w:p>
            <w:pPr>
              <w:spacing w:after="0"/>
            </w:pPr>
            <w:r>
              <w:rPr>
                <w:sz w:val="16"/>
              </w:rPr>
              <w:t>Regulatory-Dateien versionieren</w:t>
            </w:r>
          </w:p>
        </w:tc>
        <w:tc>
          <w:tcPr>
            <w:tcW w:type="dxa" w:w="1928"/>
            <w:tcMar>
              <w:top w:w="90" w:type="dxa"/>
              <w:start w:w="90" w:type="dxa"/>
              <w:bottom w:w="90" w:type="dxa"/>
              <w:end w:w="90" w:type="dxa"/>
            </w:tcMar>
            <w:vAlign w:val="top"/>
          </w:tcPr>
          <w:p>
            <w:pPr>
              <w:spacing w:after="0"/>
            </w:pPr>
            <w:r>
              <w:rPr>
                <w:sz w:val="16"/>
              </w:rPr>
              <w:t>Regulatory Affairs / IT</w:t>
            </w:r>
          </w:p>
        </w:tc>
        <w:tc>
          <w:tcPr>
            <w:tcW w:type="dxa" w:w="1984"/>
            <w:tcMar>
              <w:top w:w="90" w:type="dxa"/>
              <w:start w:w="90" w:type="dxa"/>
              <w:bottom w:w="90" w:type="dxa"/>
              <w:end w:w="90" w:type="dxa"/>
            </w:tcMar>
            <w:vAlign w:val="top"/>
          </w:tcPr>
          <w:p>
            <w:pPr>
              <w:spacing w:after="0"/>
            </w:pPr>
            <w:r>
              <w:rPr>
                <w:sz w:val="16"/>
              </w:rPr>
              <w:t>2. Juni 2026</w:t>
            </w:r>
          </w:p>
        </w:tc>
        <w:tc>
          <w:tcPr>
            <w:tcW w:type="dxa" w:w="3061"/>
            <w:tcMar>
              <w:top w:w="90" w:type="dxa"/>
              <w:start w:w="90" w:type="dxa"/>
              <w:bottom w:w="90" w:type="dxa"/>
              <w:end w:w="90" w:type="dxa"/>
            </w:tcMar>
            <w:vAlign w:val="top"/>
          </w:tcPr>
          <w:p>
            <w:pPr>
              <w:spacing w:after="0"/>
            </w:pPr>
            <w:r>
              <w:rPr>
                <w:sz w:val="16"/>
              </w:rPr>
              <w:t>Dateiliste mit Zeitstempel und Verfasser</w:t>
            </w:r>
          </w:p>
        </w:tc>
      </w:tr>
      <w:tr>
        <w:tc>
          <w:tcPr>
            <w:tcW w:type="dxa" w:w="2948"/>
            <w:tcMar>
              <w:top w:w="90" w:type="dxa"/>
              <w:start w:w="90" w:type="dxa"/>
              <w:bottom w:w="90" w:type="dxa"/>
              <w:end w:w="90" w:type="dxa"/>
            </w:tcMar>
            <w:vAlign w:val="top"/>
            <w:shd w:fill="F5F7F8"/>
          </w:tcPr>
          <w:p>
            <w:pPr>
              <w:spacing w:after="0"/>
            </w:pPr>
            <w:r>
              <w:rPr>
                <w:sz w:val="16"/>
              </w:rPr>
              <w:t>NDA-Kommunikation abgrenzen</w:t>
            </w:r>
          </w:p>
        </w:tc>
        <w:tc>
          <w:tcPr>
            <w:tcW w:type="dxa" w:w="1928"/>
            <w:tcMar>
              <w:top w:w="90" w:type="dxa"/>
              <w:start w:w="90" w:type="dxa"/>
              <w:bottom w:w="90" w:type="dxa"/>
              <w:end w:w="90" w:type="dxa"/>
            </w:tcMar>
            <w:vAlign w:val="top"/>
            <w:shd w:fill="F5F7F8"/>
          </w:tcPr>
          <w:p>
            <w:pPr>
              <w:spacing w:after="0"/>
            </w:pPr>
            <w:r>
              <w:rPr>
                <w:sz w:val="16"/>
              </w:rPr>
              <w:t>Recht / M&amp;A-Team</w:t>
            </w:r>
          </w:p>
        </w:tc>
        <w:tc>
          <w:tcPr>
            <w:tcW w:type="dxa" w:w="1984"/>
            <w:tcMar>
              <w:top w:w="90" w:type="dxa"/>
              <w:start w:w="90" w:type="dxa"/>
              <w:bottom w:w="90" w:type="dxa"/>
              <w:end w:w="90" w:type="dxa"/>
            </w:tcMar>
            <w:vAlign w:val="top"/>
            <w:shd w:fill="F5F7F8"/>
          </w:tcPr>
          <w:p>
            <w:pPr>
              <w:spacing w:after="0"/>
            </w:pPr>
            <w:r>
              <w:rPr>
                <w:sz w:val="16"/>
              </w:rPr>
              <w:t>3. Juni 2026</w:t>
            </w:r>
          </w:p>
        </w:tc>
        <w:tc>
          <w:tcPr>
            <w:tcW w:type="dxa" w:w="3061"/>
            <w:tcMar>
              <w:top w:w="90" w:type="dxa"/>
              <w:start w:w="90" w:type="dxa"/>
              <w:bottom w:w="90" w:type="dxa"/>
              <w:end w:w="90" w:type="dxa"/>
            </w:tcMar>
            <w:vAlign w:val="top"/>
            <w:shd w:fill="F5F7F8"/>
          </w:tcPr>
          <w:p>
            <w:pPr>
              <w:spacing w:after="0"/>
            </w:pPr>
            <w:r>
              <w:rPr>
                <w:sz w:val="16"/>
              </w:rPr>
              <w:t>Bereinigter Klausel- und Datenraumstand</w:t>
            </w:r>
          </w:p>
        </w:tc>
      </w:tr>
      <w:tr>
        <w:tc>
          <w:tcPr>
            <w:tcW w:type="dxa" w:w="2948"/>
            <w:tcMar>
              <w:top w:w="90" w:type="dxa"/>
              <w:start w:w="90" w:type="dxa"/>
              <w:bottom w:w="90" w:type="dxa"/>
              <w:end w:w="90" w:type="dxa"/>
            </w:tcMar>
            <w:vAlign w:val="top"/>
          </w:tcPr>
          <w:p>
            <w:pPr>
              <w:spacing w:after="0"/>
            </w:pPr>
            <w:r>
              <w:rPr>
                <w:sz w:val="16"/>
              </w:rPr>
              <w:t>Personalunterlagen vor Bonusentscheidung sichern</w:t>
            </w:r>
          </w:p>
        </w:tc>
        <w:tc>
          <w:tcPr>
            <w:tcW w:type="dxa" w:w="1928"/>
            <w:tcMar>
              <w:top w:w="90" w:type="dxa"/>
              <w:start w:w="90" w:type="dxa"/>
              <w:bottom w:w="90" w:type="dxa"/>
              <w:end w:w="90" w:type="dxa"/>
            </w:tcMar>
            <w:vAlign w:val="top"/>
          </w:tcPr>
          <w:p>
            <w:pPr>
              <w:spacing w:after="0"/>
            </w:pPr>
            <w:r>
              <w:rPr>
                <w:sz w:val="16"/>
              </w:rPr>
              <w:t>HR</w:t>
            </w:r>
          </w:p>
        </w:tc>
        <w:tc>
          <w:tcPr>
            <w:tcW w:type="dxa" w:w="1984"/>
            <w:tcMar>
              <w:top w:w="90" w:type="dxa"/>
              <w:start w:w="90" w:type="dxa"/>
              <w:bottom w:w="90" w:type="dxa"/>
              <w:end w:w="90" w:type="dxa"/>
            </w:tcMar>
            <w:vAlign w:val="top"/>
          </w:tcPr>
          <w:p>
            <w:pPr>
              <w:spacing w:after="0"/>
            </w:pPr>
            <w:r>
              <w:rPr>
                <w:sz w:val="16"/>
              </w:rPr>
              <w:t>3. Juni 2026</w:t>
            </w:r>
          </w:p>
        </w:tc>
        <w:tc>
          <w:tcPr>
            <w:tcW w:type="dxa" w:w="3061"/>
            <w:tcMar>
              <w:top w:w="90" w:type="dxa"/>
              <w:start w:w="90" w:type="dxa"/>
              <w:bottom w:w="90" w:type="dxa"/>
              <w:end w:w="90" w:type="dxa"/>
            </w:tcMar>
            <w:vAlign w:val="top"/>
          </w:tcPr>
          <w:p>
            <w:pPr>
              <w:spacing w:after="0"/>
            </w:pPr>
            <w:r>
              <w:rPr>
                <w:sz w:val="16"/>
              </w:rPr>
              <w:t>Zielvereinbarung, Vorbewertungen, Freigabeverlauf</w:t>
            </w:r>
          </w:p>
        </w:tc>
      </w:tr>
      <w:tr>
        <w:tc>
          <w:tcPr>
            <w:tcW w:type="dxa" w:w="2948"/>
            <w:tcMar>
              <w:top w:w="90" w:type="dxa"/>
              <w:start w:w="90" w:type="dxa"/>
              <w:bottom w:w="90" w:type="dxa"/>
              <w:end w:w="90" w:type="dxa"/>
            </w:tcMar>
            <w:vAlign w:val="top"/>
            <w:shd w:fill="F5F7F8"/>
          </w:tcPr>
          <w:p>
            <w:pPr>
              <w:spacing w:after="0"/>
            </w:pPr>
            <w:r>
              <w:rPr>
                <w:sz w:val="16"/>
              </w:rPr>
              <w:t>Geschäftsleitungsbesprechung vorbereiten</w:t>
            </w:r>
          </w:p>
        </w:tc>
        <w:tc>
          <w:tcPr>
            <w:tcW w:type="dxa" w:w="1928"/>
            <w:tcMar>
              <w:top w:w="90" w:type="dxa"/>
              <w:start w:w="90" w:type="dxa"/>
              <w:bottom w:w="90" w:type="dxa"/>
              <w:end w:w="90" w:type="dxa"/>
            </w:tcMar>
            <w:vAlign w:val="top"/>
            <w:shd w:fill="F5F7F8"/>
          </w:tcPr>
          <w:p>
            <w:pPr>
              <w:spacing w:after="0"/>
            </w:pPr>
            <w:r>
              <w:rPr>
                <w:sz w:val="16"/>
              </w:rPr>
              <w:t>Dr. Wedekind / externe Beratung</w:t>
            </w:r>
          </w:p>
        </w:tc>
        <w:tc>
          <w:tcPr>
            <w:tcW w:type="dxa" w:w="1984"/>
            <w:tcMar>
              <w:top w:w="90" w:type="dxa"/>
              <w:start w:w="90" w:type="dxa"/>
              <w:bottom w:w="90" w:type="dxa"/>
              <w:end w:w="90" w:type="dxa"/>
            </w:tcMar>
            <w:vAlign w:val="top"/>
            <w:shd w:fill="F5F7F8"/>
          </w:tcPr>
          <w:p>
            <w:pPr>
              <w:spacing w:after="0"/>
            </w:pPr>
            <w:r>
              <w:rPr>
                <w:sz w:val="16"/>
              </w:rPr>
              <w:t>5. Juni 2026, 09:00 Uhr</w:t>
            </w:r>
          </w:p>
        </w:tc>
        <w:tc>
          <w:tcPr>
            <w:tcW w:type="dxa" w:w="3061"/>
            <w:tcMar>
              <w:top w:w="90" w:type="dxa"/>
              <w:start w:w="90" w:type="dxa"/>
              <w:bottom w:w="90" w:type="dxa"/>
              <w:end w:w="90" w:type="dxa"/>
            </w:tcMar>
            <w:vAlign w:val="top"/>
            <w:shd w:fill="F5F7F8"/>
          </w:tcPr>
          <w:p>
            <w:pPr>
              <w:spacing w:after="0"/>
            </w:pPr>
            <w:r>
              <w:rPr>
                <w:sz w:val="16"/>
              </w:rPr>
              <w:t>Entscheidungsliste mit Belegen und offenen Punkten</w:t>
            </w:r>
          </w:p>
        </w:tc>
      </w:tr>
    </w:tbl>
    <w:p>
      <w:pPr>
        <w:spacing w:after="20"/>
      </w:pPr>
    </w:p>
    <w:p>
      <w:pPr>
        <w:pStyle w:val="Heading1"/>
      </w:pPr>
      <w:r>
        <w:t>5. Vertraulichkeitsvermerk</w:t>
      </w:r>
    </w:p>
    <w:p>
      <w:pPr>
        <w:widowControl/>
      </w:pPr>
      <w:r>
        <w:t>Identitätsdaten, Meldungsinhalt, Deal-Unterlagen und Personalakte werden in getrennten Zugriffsbereichen geführt. Die Weitergabe an Geschäftsleitung oder Erwerbsinteressentin erfolgt nur dokumenten- und zweckbezogen. Dieser Vermerk enthält keine Feststellung zum Wahrheitsgehalt der Meldung.</w:t>
      </w:r>
    </w:p>
    <w:p>
      <w:pPr>
        <w:keepLines/>
        <w:spacing w:before="120"/>
      </w:pPr>
      <w:r>
        <w:rPr>
          <w:b/>
        </w:rPr>
        <w:t>Dr. Anja Brettschneider · Rechtsanwältin</w:t>
      </w:r>
    </w:p>
    <w:sectPr w:rsidR="00FC693F" w:rsidRPr="0006063C" w:rsidSect="00034616">
      <w:footerReference w:type="default" r:id="rId9"/>
      <w:pgSz w:w="11906" w:h="16838"/>
      <w:pgMar w:top="1247" w:right="1134"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636B"/>
        <w:sz w:val="16"/>
      </w:rPr>
      <w:t xml:space="preserve">BRETTSCHNEIDER · HOLLÄNDER RECHTSANWÄLTE · BH-226/26-C · Seite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66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