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6520"/>
        <w:gridCol w:w="2948"/>
      </w:tblGrid>
      <w:tr>
        <w:tc>
          <w:tcPr>
            <w:tcW w:type="dxa" w:w="4790"/>
            <w:tcMar>
              <w:top w:w="0" w:type="dxa"/>
              <w:start w:w="0" w:type="dxa"/>
              <w:bottom w:w="80" w:type="dxa"/>
              <w:end w:w="80" w:type="dxa"/>
            </w:tcMar>
          </w:tcPr>
          <w:p>
            <w:pPr>
              <w:spacing w:after="20"/>
            </w:pPr>
            <w:r>
              <w:rPr>
                <w:b/>
                <w:color w:val="17324D"/>
                <w:sz w:val="24"/>
              </w:rPr>
              <w:t>WALDKRONE HEALTHTECH GMBH</w:t>
            </w:r>
          </w:p>
          <w:p>
            <w:pPr>
              <w:spacing w:after="0"/>
            </w:pPr>
            <w:r>
              <w:rPr>
                <w:color w:val="59636B"/>
                <w:sz w:val="16"/>
              </w:rPr>
              <w:t>Hafenallee 21 · 55118 Mainz · Telefon 06131 774 50 · zentrale@waldkrone-health.de</w:t>
            </w:r>
          </w:p>
          <w:p>
            <w:pPr>
              <w:spacing w:after="0"/>
            </w:pPr>
            <w:r>
              <w:rPr>
                <w:color w:val="59636B"/>
                <w:sz w:val="16"/>
              </w:rPr>
              <w:t>Geschäftsführung Dr. Anselm Krüger und Sarah Voß · HRB 48821, Amtsgericht Mainz</w:t>
            </w:r>
          </w:p>
        </w:tc>
        <w:tc>
          <w:tcPr>
            <w:tcW w:type="dxa" w:w="4790"/>
            <w:tcMar>
              <w:top w:w="0" w:type="dxa"/>
              <w:start w:w="80" w:type="dxa"/>
              <w:bottom w:w="80" w:type="dxa"/>
              <w:end w:w="0" w:type="dxa"/>
            </w:tcMar>
          </w:tcPr>
          <w:p>
            <w:pPr>
              <w:jc w:val="right"/>
            </w:pPr>
            <w:r>
              <w:rPr>
                <w:b/>
                <w:color w:val="2E668B"/>
                <w:sz w:val="18"/>
              </w:rPr>
              <w:t>GESCHÄFTSFÜHRUNG · VERTRAULICH</w:t>
            </w:r>
          </w:p>
        </w:tc>
      </w:tr>
    </w:tbl>
    <w:p>
      <w:pPr>
        <w:spacing w:after="160"/>
        <w:pBdr>
          <w:bottom w:val="single" w:sz="10" w:space="1" w:color="2E668B"/>
        </w:pBdr>
      </w:pPr>
    </w:p>
    <w:p>
      <w:pPr>
        <w:pStyle w:val="Title"/>
      </w:pPr>
      <w:r>
        <w:t>Entscheidungsliste zum Hinweisfall HIN-26-014</w:t>
      </w:r>
    </w:p>
    <w:p>
      <w:pPr>
        <w:spacing w:after="180"/>
      </w:pPr>
      <w:r>
        <w:rPr>
          <w:b/>
          <w:color w:val="2E668B"/>
        </w:rPr>
        <w:t>Sitzung am 5. Juni 2026, 09:00 Uhr</w:t>
      </w:r>
    </w:p>
    <w:tbl>
      <w:tblPr>
        <w:tblW w:type="auto" w:w="0"/>
        <w:tblLayout w:type="fixed"/>
        <w:tblLook w:firstColumn="1" w:firstRow="1" w:lastColumn="0" w:lastRow="0" w:noHBand="0" w:noVBand="1" w:val="04A0"/>
      </w:tblPr>
      <w:tblGrid>
        <w:gridCol w:w="2268"/>
        <w:gridCol w:w="7200"/>
      </w:tblGrid>
      <w:tr>
        <w:tc>
          <w:tcPr>
            <w:tcW w:type="dxa" w:w="2268"/>
            <w:shd w:fill="EAF1F5"/>
            <w:tcMar>
              <w:top w:w="90" w:type="dxa"/>
              <w:start w:w="90" w:type="dxa"/>
              <w:bottom w:w="90" w:type="dxa"/>
              <w:end w:w="90" w:type="dxa"/>
            </w:tcMar>
            <w:vAlign w:val="center"/>
          </w:tcPr>
          <w:p>
            <w:pPr>
              <w:spacing w:after="0"/>
            </w:pPr>
            <w:r>
              <w:rPr>
                <w:b/>
                <w:sz w:val="18"/>
              </w:rPr>
              <w:t>Vorlage</w:t>
            </w:r>
          </w:p>
        </w:tc>
        <w:tc>
          <w:tcPr>
            <w:tcW w:type="dxa" w:w="7200"/>
            <w:tcMar>
              <w:top w:w="90" w:type="dxa"/>
              <w:start w:w="90" w:type="dxa"/>
              <w:bottom w:w="90" w:type="dxa"/>
              <w:end w:w="90" w:type="dxa"/>
            </w:tcMar>
            <w:vAlign w:val="center"/>
          </w:tcPr>
          <w:p>
            <w:pPr>
              <w:spacing w:after="0"/>
            </w:pPr>
            <w:r>
              <w:rPr>
                <w:sz w:val="18"/>
              </w:rPr>
              <w:t>Dr. Nora Wedekind, Leitung Recht</w:t>
            </w:r>
          </w:p>
        </w:tc>
      </w:tr>
      <w:tr>
        <w:tc>
          <w:tcPr>
            <w:tcW w:type="dxa" w:w="2268"/>
            <w:shd w:fill="EAF1F5"/>
            <w:tcMar>
              <w:top w:w="90" w:type="dxa"/>
              <w:start w:w="90" w:type="dxa"/>
              <w:bottom w:w="90" w:type="dxa"/>
              <w:end w:w="90" w:type="dxa"/>
            </w:tcMar>
            <w:vAlign w:val="center"/>
          </w:tcPr>
          <w:p>
            <w:pPr>
              <w:spacing w:after="0"/>
            </w:pPr>
            <w:r>
              <w:rPr>
                <w:b/>
                <w:sz w:val="18"/>
              </w:rPr>
              <w:t>Stand</w:t>
            </w:r>
          </w:p>
        </w:tc>
        <w:tc>
          <w:tcPr>
            <w:tcW w:type="dxa" w:w="7200"/>
            <w:tcMar>
              <w:top w:w="90" w:type="dxa"/>
              <w:start w:w="90" w:type="dxa"/>
              <w:bottom w:w="90" w:type="dxa"/>
              <w:end w:w="90" w:type="dxa"/>
            </w:tcMar>
            <w:vAlign w:val="center"/>
          </w:tcPr>
          <w:p>
            <w:pPr>
              <w:spacing w:after="0"/>
            </w:pPr>
            <w:r>
              <w:rPr>
                <w:sz w:val="18"/>
              </w:rPr>
              <w:t>3. Juni 2026, 17:25 Uhr</w:t>
            </w:r>
          </w:p>
        </w:tc>
      </w:tr>
      <w:tr>
        <w:tc>
          <w:tcPr>
            <w:tcW w:type="dxa" w:w="2268"/>
            <w:shd w:fill="EAF1F5"/>
            <w:tcMar>
              <w:top w:w="90" w:type="dxa"/>
              <w:start w:w="90" w:type="dxa"/>
              <w:bottom w:w="90" w:type="dxa"/>
              <w:end w:w="90" w:type="dxa"/>
            </w:tcMar>
            <w:vAlign w:val="center"/>
          </w:tcPr>
          <w:p>
            <w:pPr>
              <w:spacing w:after="0"/>
            </w:pPr>
            <w:r>
              <w:rPr>
                <w:b/>
                <w:sz w:val="18"/>
              </w:rPr>
              <w:t>Teilnehmerkreis</w:t>
            </w:r>
          </w:p>
        </w:tc>
        <w:tc>
          <w:tcPr>
            <w:tcW w:type="dxa" w:w="7200"/>
            <w:tcMar>
              <w:top w:w="90" w:type="dxa"/>
              <w:start w:w="90" w:type="dxa"/>
              <w:bottom w:w="90" w:type="dxa"/>
              <w:end w:w="90" w:type="dxa"/>
            </w:tcMar>
            <w:vAlign w:val="center"/>
          </w:tcPr>
          <w:p>
            <w:pPr>
              <w:spacing w:after="0"/>
            </w:pPr>
            <w:r>
              <w:rPr>
                <w:sz w:val="18"/>
              </w:rPr>
              <w:t>Geschäftsführung, Meldestelle, Recht, HR, Regulatory Affairs, IT</w:t>
            </w:r>
          </w:p>
        </w:tc>
      </w:tr>
      <w:tr>
        <w:tc>
          <w:tcPr>
            <w:tcW w:type="dxa" w:w="2268"/>
            <w:shd w:fill="EAF1F5"/>
            <w:tcMar>
              <w:top w:w="90" w:type="dxa"/>
              <w:start w:w="90" w:type="dxa"/>
              <w:bottom w:w="90" w:type="dxa"/>
              <w:end w:w="90" w:type="dxa"/>
            </w:tcMar>
            <w:vAlign w:val="center"/>
          </w:tcPr>
          <w:p>
            <w:pPr>
              <w:spacing w:after="0"/>
            </w:pPr>
            <w:r>
              <w:rPr>
                <w:b/>
                <w:sz w:val="18"/>
              </w:rPr>
              <w:t>Nicht verteilen an</w:t>
            </w:r>
          </w:p>
        </w:tc>
        <w:tc>
          <w:tcPr>
            <w:tcW w:type="dxa" w:w="7200"/>
            <w:tcMar>
              <w:top w:w="90" w:type="dxa"/>
              <w:start w:w="90" w:type="dxa"/>
              <w:bottom w:w="90" w:type="dxa"/>
              <w:end w:w="90" w:type="dxa"/>
            </w:tcMar>
            <w:vAlign w:val="center"/>
          </w:tcPr>
          <w:p>
            <w:pPr>
              <w:spacing w:after="0"/>
            </w:pPr>
            <w:r>
              <w:rPr>
                <w:sz w:val="18"/>
              </w:rPr>
              <w:t>Deal-Team oder Erwerbsinteressentin ohne gesonderte Freigabe</w:t>
            </w:r>
          </w:p>
        </w:tc>
      </w:tr>
    </w:tbl>
    <w:p>
      <w:pPr>
        <w:spacing w:after="20"/>
      </w:pPr>
    </w:p>
    <w:p>
      <w:pPr>
        <w:pStyle w:val="Heading1"/>
      </w:pPr>
      <w:r>
        <w:t>1. Entscheidungen der Sitzung</w:t>
      </w:r>
    </w:p>
    <w:tbl>
      <w:tblPr>
        <w:tblStyle w:val="TableGrid"/>
        <w:tblW w:type="auto" w:w="0"/>
        <w:tblLayout w:type="fixed"/>
        <w:tblLook w:firstColumn="1" w:firstRow="1" w:lastColumn="0" w:lastRow="0" w:noHBand="0" w:noVBand="1" w:val="04A0"/>
      </w:tblPr>
      <w:tblGrid>
        <w:gridCol w:w="567"/>
        <w:gridCol w:w="2721"/>
        <w:gridCol w:w="3005"/>
        <w:gridCol w:w="2835"/>
      </w:tblGrid>
      <w:tr>
        <w:tc>
          <w:tcPr>
            <w:tcW w:type="dxa" w:w="2395"/>
            <w:shd w:fill="17324D"/>
            <w:tcMar>
              <w:top w:w="90" w:type="dxa"/>
              <w:start w:w="90" w:type="dxa"/>
              <w:bottom w:w="90" w:type="dxa"/>
              <w:end w:w="90" w:type="dxa"/>
            </w:tcMar>
          </w:tcPr>
          <w:p>
            <w:r>
              <w:rPr>
                <w:b/>
                <w:color w:val="FFFFFF"/>
                <w:sz w:val="17"/>
              </w:rPr>
              <w:t>Nr.</w:t>
            </w:r>
          </w:p>
        </w:tc>
        <w:tc>
          <w:tcPr>
            <w:tcW w:type="dxa" w:w="2395"/>
            <w:shd w:fill="17324D"/>
            <w:tcMar>
              <w:top w:w="90" w:type="dxa"/>
              <w:start w:w="90" w:type="dxa"/>
              <w:bottom w:w="90" w:type="dxa"/>
              <w:end w:w="90" w:type="dxa"/>
            </w:tcMar>
          </w:tcPr>
          <w:p>
            <w:r>
              <w:rPr>
                <w:b/>
                <w:color w:val="FFFFFF"/>
                <w:sz w:val="17"/>
              </w:rPr>
              <w:t>Entscheidungsfrage</w:t>
            </w:r>
          </w:p>
        </w:tc>
        <w:tc>
          <w:tcPr>
            <w:tcW w:type="dxa" w:w="2395"/>
            <w:shd w:fill="17324D"/>
            <w:tcMar>
              <w:top w:w="90" w:type="dxa"/>
              <w:start w:w="90" w:type="dxa"/>
              <w:bottom w:w="90" w:type="dxa"/>
              <w:end w:w="90" w:type="dxa"/>
            </w:tcMar>
          </w:tcPr>
          <w:p>
            <w:r>
              <w:rPr>
                <w:b/>
                <w:color w:val="FFFFFF"/>
                <w:sz w:val="17"/>
              </w:rPr>
              <w:t>Tatsachenbasis</w:t>
            </w:r>
          </w:p>
        </w:tc>
        <w:tc>
          <w:tcPr>
            <w:tcW w:type="dxa" w:w="2395"/>
            <w:shd w:fill="17324D"/>
            <w:tcMar>
              <w:top w:w="90" w:type="dxa"/>
              <w:start w:w="90" w:type="dxa"/>
              <w:bottom w:w="90" w:type="dxa"/>
              <w:end w:w="90" w:type="dxa"/>
            </w:tcMar>
          </w:tcPr>
          <w:p>
            <w:r>
              <w:rPr>
                <w:b/>
                <w:color w:val="FFFFFF"/>
                <w:sz w:val="17"/>
              </w:rPr>
              <w:t>Noch erforderlicher Nachweis</w:t>
            </w:r>
          </w:p>
        </w:tc>
      </w:tr>
      <w:tr>
        <w:tc>
          <w:tcPr>
            <w:tcW w:type="dxa" w:w="567"/>
            <w:tcMar>
              <w:top w:w="90" w:type="dxa"/>
              <w:start w:w="90" w:type="dxa"/>
              <w:bottom w:w="90" w:type="dxa"/>
              <w:end w:w="90" w:type="dxa"/>
            </w:tcMar>
            <w:vAlign w:val="top"/>
          </w:tcPr>
          <w:p>
            <w:pPr>
              <w:spacing w:after="0"/>
            </w:pPr>
            <w:r>
              <w:rPr>
                <w:sz w:val="16"/>
              </w:rPr>
              <w:t>1</w:t>
            </w:r>
          </w:p>
        </w:tc>
        <w:tc>
          <w:tcPr>
            <w:tcW w:type="dxa" w:w="2721"/>
            <w:tcMar>
              <w:top w:w="90" w:type="dxa"/>
              <w:start w:w="90" w:type="dxa"/>
              <w:bottom w:w="90" w:type="dxa"/>
              <w:end w:w="90" w:type="dxa"/>
            </w:tcMar>
            <w:vAlign w:val="top"/>
          </w:tcPr>
          <w:p>
            <w:pPr>
              <w:spacing w:after="0"/>
            </w:pPr>
            <w:r>
              <w:rPr>
                <w:sz w:val="16"/>
              </w:rPr>
              <w:t>Wer führt die Untersuchung und wer entscheidet über Maßnahmen?</w:t>
            </w:r>
          </w:p>
        </w:tc>
        <w:tc>
          <w:tcPr>
            <w:tcW w:type="dxa" w:w="3005"/>
            <w:tcMar>
              <w:top w:w="90" w:type="dxa"/>
              <w:start w:w="90" w:type="dxa"/>
              <w:bottom w:w="90" w:type="dxa"/>
              <w:end w:w="90" w:type="dxa"/>
            </w:tcMar>
            <w:vAlign w:val="top"/>
          </w:tcPr>
          <w:p>
            <w:pPr>
              <w:spacing w:after="0"/>
            </w:pPr>
            <w:r>
              <w:rPr>
                <w:sz w:val="16"/>
              </w:rPr>
              <w:t>Meldestelle und Recht sind bereits eingebunden</w:t>
            </w:r>
          </w:p>
        </w:tc>
        <w:tc>
          <w:tcPr>
            <w:tcW w:type="dxa" w:w="2835"/>
            <w:tcMar>
              <w:top w:w="90" w:type="dxa"/>
              <w:start w:w="90" w:type="dxa"/>
              <w:bottom w:w="90" w:type="dxa"/>
              <w:end w:w="90" w:type="dxa"/>
            </w:tcMar>
            <w:vAlign w:val="top"/>
          </w:tcPr>
          <w:p>
            <w:pPr>
              <w:spacing w:after="0"/>
            </w:pPr>
            <w:r>
              <w:rPr>
                <w:sz w:val="16"/>
              </w:rPr>
              <w:t>Schriftlicher Untersuchungsauftrag und Vertretungsregel</w:t>
            </w:r>
          </w:p>
        </w:tc>
      </w:tr>
      <w:tr>
        <w:tc>
          <w:tcPr>
            <w:tcW w:type="dxa" w:w="567"/>
            <w:tcMar>
              <w:top w:w="90" w:type="dxa"/>
              <w:start w:w="90" w:type="dxa"/>
              <w:bottom w:w="90" w:type="dxa"/>
              <w:end w:w="90" w:type="dxa"/>
            </w:tcMar>
            <w:vAlign w:val="top"/>
            <w:shd w:fill="F5F7F8"/>
          </w:tcPr>
          <w:p>
            <w:pPr>
              <w:spacing w:after="0"/>
            </w:pPr>
            <w:r>
              <w:rPr>
                <w:sz w:val="16"/>
              </w:rPr>
              <w:t>2</w:t>
            </w:r>
          </w:p>
        </w:tc>
        <w:tc>
          <w:tcPr>
            <w:tcW w:type="dxa" w:w="2721"/>
            <w:tcMar>
              <w:top w:w="90" w:type="dxa"/>
              <w:start w:w="90" w:type="dxa"/>
              <w:bottom w:w="90" w:type="dxa"/>
              <w:end w:w="90" w:type="dxa"/>
            </w:tcMar>
            <w:vAlign w:val="top"/>
            <w:shd w:fill="F5F7F8"/>
          </w:tcPr>
          <w:p>
            <w:pPr>
              <w:spacing w:after="0"/>
            </w:pPr>
            <w:r>
              <w:rPr>
                <w:sz w:val="16"/>
              </w:rPr>
              <w:t>Welche Daten werden sofort gesichert?</w:t>
            </w:r>
          </w:p>
        </w:tc>
        <w:tc>
          <w:tcPr>
            <w:tcW w:type="dxa" w:w="3005"/>
            <w:tcMar>
              <w:top w:w="90" w:type="dxa"/>
              <w:start w:w="90" w:type="dxa"/>
              <w:bottom w:w="90" w:type="dxa"/>
              <w:end w:w="90" w:type="dxa"/>
            </w:tcMar>
            <w:vAlign w:val="top"/>
            <w:shd w:fill="F5F7F8"/>
          </w:tcPr>
          <w:p>
            <w:pPr>
              <w:spacing w:after="0"/>
            </w:pPr>
            <w:r>
              <w:rPr>
                <w:sz w:val="16"/>
              </w:rPr>
              <w:t>Zwei Netzlaufwerke, Portalanhänge, HR- und Deal-Unterlagen benannt</w:t>
            </w:r>
          </w:p>
        </w:tc>
        <w:tc>
          <w:tcPr>
            <w:tcW w:type="dxa" w:w="2835"/>
            <w:tcMar>
              <w:top w:w="90" w:type="dxa"/>
              <w:start w:w="90" w:type="dxa"/>
              <w:bottom w:w="90" w:type="dxa"/>
              <w:end w:w="90" w:type="dxa"/>
            </w:tcMar>
            <w:vAlign w:val="top"/>
            <w:shd w:fill="F5F7F8"/>
          </w:tcPr>
          <w:p>
            <w:pPr>
              <w:spacing w:after="0"/>
            </w:pPr>
            <w:r>
              <w:rPr>
                <w:sz w:val="16"/>
              </w:rPr>
              <w:t>Hashliste, Zugriffslog und Verwahrort</w:t>
            </w:r>
          </w:p>
        </w:tc>
      </w:tr>
      <w:tr>
        <w:tc>
          <w:tcPr>
            <w:tcW w:type="dxa" w:w="567"/>
            <w:tcMar>
              <w:top w:w="90" w:type="dxa"/>
              <w:start w:w="90" w:type="dxa"/>
              <w:bottom w:w="90" w:type="dxa"/>
              <w:end w:w="90" w:type="dxa"/>
            </w:tcMar>
            <w:vAlign w:val="top"/>
          </w:tcPr>
          <w:p>
            <w:pPr>
              <w:spacing w:after="0"/>
            </w:pPr>
            <w:r>
              <w:rPr>
                <w:sz w:val="16"/>
              </w:rPr>
              <w:t>3</w:t>
            </w:r>
          </w:p>
        </w:tc>
        <w:tc>
          <w:tcPr>
            <w:tcW w:type="dxa" w:w="2721"/>
            <w:tcMar>
              <w:top w:w="90" w:type="dxa"/>
              <w:start w:w="90" w:type="dxa"/>
              <w:bottom w:w="90" w:type="dxa"/>
              <w:end w:w="90" w:type="dxa"/>
            </w:tcMar>
            <w:vAlign w:val="top"/>
          </w:tcPr>
          <w:p>
            <w:pPr>
              <w:spacing w:after="0"/>
            </w:pPr>
            <w:r>
              <w:rPr>
                <w:sz w:val="16"/>
              </w:rPr>
              <w:t>Welche Personen werden wann angehört?</w:t>
            </w:r>
          </w:p>
        </w:tc>
        <w:tc>
          <w:tcPr>
            <w:tcW w:type="dxa" w:w="3005"/>
            <w:tcMar>
              <w:top w:w="90" w:type="dxa"/>
              <w:start w:w="90" w:type="dxa"/>
              <w:bottom w:w="90" w:type="dxa"/>
              <w:end w:w="90" w:type="dxa"/>
            </w:tcMar>
            <w:vAlign w:val="top"/>
          </w:tcPr>
          <w:p>
            <w:pPr>
              <w:spacing w:after="0"/>
            </w:pPr>
            <w:r>
              <w:rPr>
                <w:sz w:val="16"/>
              </w:rPr>
              <w:t>Vier Funktionsrollen sind identifiziert</w:t>
            </w:r>
          </w:p>
        </w:tc>
        <w:tc>
          <w:tcPr>
            <w:tcW w:type="dxa" w:w="2835"/>
            <w:tcMar>
              <w:top w:w="90" w:type="dxa"/>
              <w:start w:w="90" w:type="dxa"/>
              <w:bottom w:w="90" w:type="dxa"/>
              <w:end w:w="90" w:type="dxa"/>
            </w:tcMar>
            <w:vAlign w:val="top"/>
          </w:tcPr>
          <w:p>
            <w:pPr>
              <w:spacing w:after="0"/>
            </w:pPr>
            <w:r>
              <w:rPr>
                <w:sz w:val="16"/>
              </w:rPr>
              <w:t>Interviewreihenfolge nach Dokumentensicherung</w:t>
            </w:r>
          </w:p>
        </w:tc>
      </w:tr>
      <w:tr>
        <w:tc>
          <w:tcPr>
            <w:tcW w:type="dxa" w:w="567"/>
            <w:tcMar>
              <w:top w:w="90" w:type="dxa"/>
              <w:start w:w="90" w:type="dxa"/>
              <w:bottom w:w="90" w:type="dxa"/>
              <w:end w:w="90" w:type="dxa"/>
            </w:tcMar>
            <w:vAlign w:val="top"/>
            <w:shd w:fill="F5F7F8"/>
          </w:tcPr>
          <w:p>
            <w:pPr>
              <w:spacing w:after="0"/>
            </w:pPr>
            <w:r>
              <w:rPr>
                <w:sz w:val="16"/>
              </w:rPr>
              <w:t>4</w:t>
            </w:r>
          </w:p>
        </w:tc>
        <w:tc>
          <w:tcPr>
            <w:tcW w:type="dxa" w:w="2721"/>
            <w:tcMar>
              <w:top w:w="90" w:type="dxa"/>
              <w:start w:w="90" w:type="dxa"/>
              <w:bottom w:w="90" w:type="dxa"/>
              <w:end w:w="90" w:type="dxa"/>
            </w:tcMar>
            <w:vAlign w:val="top"/>
            <w:shd w:fill="F5F7F8"/>
          </w:tcPr>
          <w:p>
            <w:pPr>
              <w:spacing w:after="0"/>
            </w:pPr>
            <w:r>
              <w:rPr>
                <w:sz w:val="16"/>
              </w:rPr>
              <w:t>Wie wird mit der Bonusvorlage verfahren?</w:t>
            </w:r>
          </w:p>
        </w:tc>
        <w:tc>
          <w:tcPr>
            <w:tcW w:type="dxa" w:w="3005"/>
            <w:tcMar>
              <w:top w:w="90" w:type="dxa"/>
              <w:start w:w="90" w:type="dxa"/>
              <w:bottom w:w="90" w:type="dxa"/>
              <w:end w:w="90" w:type="dxa"/>
            </w:tcMar>
            <w:vAlign w:val="top"/>
            <w:shd w:fill="F5F7F8"/>
          </w:tcPr>
          <w:p>
            <w:pPr>
              <w:spacing w:after="0"/>
            </w:pPr>
            <w:r>
              <w:rPr>
                <w:sz w:val="16"/>
              </w:rPr>
              <w:t>Vorlage existierte vor der Meldung, Begründungsstand streitig</w:t>
            </w:r>
          </w:p>
        </w:tc>
        <w:tc>
          <w:tcPr>
            <w:tcW w:type="dxa" w:w="2835"/>
            <w:tcMar>
              <w:top w:w="90" w:type="dxa"/>
              <w:start w:w="90" w:type="dxa"/>
              <w:bottom w:w="90" w:type="dxa"/>
              <w:end w:w="90" w:type="dxa"/>
            </w:tcMar>
            <w:vAlign w:val="top"/>
            <w:shd w:fill="F5F7F8"/>
          </w:tcPr>
          <w:p>
            <w:pPr>
              <w:spacing w:after="0"/>
            </w:pPr>
            <w:r>
              <w:rPr>
                <w:sz w:val="16"/>
              </w:rPr>
              <w:t>Vorfassungen, Zielvereinbarung, Änderungsverlauf</w:t>
            </w:r>
          </w:p>
        </w:tc>
      </w:tr>
      <w:tr>
        <w:tc>
          <w:tcPr>
            <w:tcW w:type="dxa" w:w="567"/>
            <w:tcMar>
              <w:top w:w="90" w:type="dxa"/>
              <w:start w:w="90" w:type="dxa"/>
              <w:bottom w:w="90" w:type="dxa"/>
              <w:end w:w="90" w:type="dxa"/>
            </w:tcMar>
            <w:vAlign w:val="top"/>
          </w:tcPr>
          <w:p>
            <w:pPr>
              <w:spacing w:after="0"/>
            </w:pPr>
            <w:r>
              <w:rPr>
                <w:sz w:val="16"/>
              </w:rPr>
              <w:t>5</w:t>
            </w:r>
          </w:p>
        </w:tc>
        <w:tc>
          <w:tcPr>
            <w:tcW w:type="dxa" w:w="2721"/>
            <w:tcMar>
              <w:top w:w="90" w:type="dxa"/>
              <w:start w:w="90" w:type="dxa"/>
              <w:bottom w:w="90" w:type="dxa"/>
              <w:end w:w="90" w:type="dxa"/>
            </w:tcMar>
            <w:vAlign w:val="top"/>
          </w:tcPr>
          <w:p>
            <w:pPr>
              <w:spacing w:after="0"/>
            </w:pPr>
            <w:r>
              <w:rPr>
                <w:sz w:val="16"/>
              </w:rPr>
              <w:t>Welche NDA-Fassung geht an Delphin Capital?</w:t>
            </w:r>
          </w:p>
        </w:tc>
        <w:tc>
          <w:tcPr>
            <w:tcW w:type="dxa" w:w="3005"/>
            <w:tcMar>
              <w:top w:w="90" w:type="dxa"/>
              <w:start w:w="90" w:type="dxa"/>
              <w:bottom w:w="90" w:type="dxa"/>
              <w:end w:w="90" w:type="dxa"/>
            </w:tcMar>
            <w:vAlign w:val="top"/>
          </w:tcPr>
          <w:p>
            <w:pPr>
              <w:spacing w:after="0"/>
            </w:pPr>
            <w:r>
              <w:rPr>
                <w:sz w:val="16"/>
              </w:rPr>
              <w:t>Entwurf erfasst Meldungen und Behördenkontakte weit</w:t>
            </w:r>
          </w:p>
        </w:tc>
        <w:tc>
          <w:tcPr>
            <w:tcW w:type="dxa" w:w="2835"/>
            <w:tcMar>
              <w:top w:w="90" w:type="dxa"/>
              <w:start w:w="90" w:type="dxa"/>
              <w:bottom w:w="90" w:type="dxa"/>
              <w:end w:w="90" w:type="dxa"/>
            </w:tcMar>
            <w:vAlign w:val="top"/>
          </w:tcPr>
          <w:p>
            <w:pPr>
              <w:spacing w:after="0"/>
            </w:pPr>
            <w:r>
              <w:rPr>
                <w:sz w:val="16"/>
              </w:rPr>
              <w:t>Bereinigter Text und Freigabevermerk</w:t>
            </w:r>
          </w:p>
        </w:tc>
      </w:tr>
      <w:tr>
        <w:tc>
          <w:tcPr>
            <w:tcW w:type="dxa" w:w="567"/>
            <w:tcMar>
              <w:top w:w="90" w:type="dxa"/>
              <w:start w:w="90" w:type="dxa"/>
              <w:bottom w:w="90" w:type="dxa"/>
              <w:end w:w="90" w:type="dxa"/>
            </w:tcMar>
            <w:vAlign w:val="top"/>
            <w:shd w:fill="F5F7F8"/>
          </w:tcPr>
          <w:p>
            <w:pPr>
              <w:spacing w:after="0"/>
            </w:pPr>
            <w:r>
              <w:rPr>
                <w:sz w:val="16"/>
              </w:rPr>
              <w:t>6</w:t>
            </w:r>
          </w:p>
        </w:tc>
        <w:tc>
          <w:tcPr>
            <w:tcW w:type="dxa" w:w="2721"/>
            <w:tcMar>
              <w:top w:w="90" w:type="dxa"/>
              <w:start w:w="90" w:type="dxa"/>
              <w:bottom w:w="90" w:type="dxa"/>
              <w:end w:w="90" w:type="dxa"/>
            </w:tcMar>
            <w:vAlign w:val="top"/>
            <w:shd w:fill="F5F7F8"/>
          </w:tcPr>
          <w:p>
            <w:pPr>
              <w:spacing w:after="0"/>
            </w:pPr>
            <w:r>
              <w:rPr>
                <w:sz w:val="16"/>
              </w:rPr>
              <w:t>Welche technischen Mängel des Meldekanals werden kurzfristig behoben?</w:t>
            </w:r>
          </w:p>
        </w:tc>
        <w:tc>
          <w:tcPr>
            <w:tcW w:type="dxa" w:w="3005"/>
            <w:tcMar>
              <w:top w:w="90" w:type="dxa"/>
              <w:start w:w="90" w:type="dxa"/>
              <w:bottom w:w="90" w:type="dxa"/>
              <w:end w:w="90" w:type="dxa"/>
            </w:tcMar>
            <w:vAlign w:val="top"/>
            <w:shd w:fill="F5F7F8"/>
          </w:tcPr>
          <w:p>
            <w:pPr>
              <w:spacing w:after="0"/>
            </w:pPr>
            <w:r>
              <w:rPr>
                <w:sz w:val="16"/>
              </w:rPr>
              <w:t>Exportordner, Adminrechte und Rückkanal dokumentiert</w:t>
            </w:r>
          </w:p>
        </w:tc>
        <w:tc>
          <w:tcPr>
            <w:tcW w:type="dxa" w:w="2835"/>
            <w:tcMar>
              <w:top w:w="90" w:type="dxa"/>
              <w:start w:w="90" w:type="dxa"/>
              <w:bottom w:w="90" w:type="dxa"/>
              <w:end w:w="90" w:type="dxa"/>
            </w:tcMar>
            <w:vAlign w:val="top"/>
            <w:shd w:fill="F5F7F8"/>
          </w:tcPr>
          <w:p>
            <w:pPr>
              <w:spacing w:after="0"/>
            </w:pPr>
            <w:r>
              <w:rPr>
                <w:sz w:val="16"/>
              </w:rPr>
              <w:t>Angebot des Dienstleisters, Verantwortlicher und Termin</w:t>
            </w:r>
          </w:p>
        </w:tc>
      </w:tr>
    </w:tbl>
    <w:p>
      <w:pPr>
        <w:spacing w:after="20"/>
      </w:pPr>
    </w:p>
    <w:p>
      <w:pPr>
        <w:pStyle w:val="Heading1"/>
      </w:pPr>
      <w:r>
        <w:t>2. Tatsachen, die nicht als geklärt protokolliert werden dürfen</w:t>
      </w:r>
    </w:p>
    <w:p>
      <w:pPr>
        <w:widowControl/>
      </w:pPr>
      <w:r>
        <w:t>Nicht geklärt sind der Urheber der rückdatierten Freigabevermerke, die tatsächliche Endverwendung der Lieferung, die Vollständigkeit der Produktakte und der Zusammenhang zwischen Meldung und Bonusentscheidung. Die anonyme Meldung ist ein Ermittlungsanlass, kein Beweis für die behaupteten Vorgänge.</w:t>
      </w:r>
    </w:p>
    <w:p>
      <w:pPr>
        <w:widowControl/>
      </w:pPr>
      <w:r>
        <w:t>Der Datenraum enthält nicht denselben Dokumentenbestand wie das Regulatory-System. Eine Freigabe für die Erwerbsinteressentin darf daher nicht mit der internen Produktfreigabe gleichgesetzt werden.</w:t>
      </w:r>
    </w:p>
    <w:p>
      <w:pPr>
        <w:pStyle w:val="Heading1"/>
      </w:pPr>
      <w:r>
        <w:t>3. Protokoll- und Auftragsfelder</w:t>
      </w:r>
    </w:p>
    <w:tbl>
      <w:tblPr>
        <w:tblStyle w:val="TableGrid"/>
        <w:tblW w:type="auto" w:w="0"/>
        <w:tblLayout w:type="fixed"/>
        <w:tblLook w:firstColumn="1" w:firstRow="1" w:lastColumn="0" w:lastRow="0" w:noHBand="0" w:noVBand="1" w:val="04A0"/>
      </w:tblPr>
      <w:tblGrid>
        <w:gridCol w:w="2835"/>
        <w:gridCol w:w="2494"/>
        <w:gridCol w:w="2098"/>
        <w:gridCol w:w="2835"/>
      </w:tblGrid>
      <w:tr>
        <w:tc>
          <w:tcPr>
            <w:tcW w:type="dxa" w:w="2395"/>
            <w:shd w:fill="17324D"/>
            <w:tcMar>
              <w:top w:w="90" w:type="dxa"/>
              <w:start w:w="90" w:type="dxa"/>
              <w:bottom w:w="90" w:type="dxa"/>
              <w:end w:w="90" w:type="dxa"/>
            </w:tcMar>
          </w:tcPr>
          <w:p>
            <w:r>
              <w:rPr>
                <w:b/>
                <w:color w:val="FFFFFF"/>
                <w:sz w:val="17"/>
              </w:rPr>
              <w:t>Beschlusspunkt</w:t>
            </w:r>
          </w:p>
        </w:tc>
        <w:tc>
          <w:tcPr>
            <w:tcW w:type="dxa" w:w="2395"/>
            <w:shd w:fill="17324D"/>
            <w:tcMar>
              <w:top w:w="90" w:type="dxa"/>
              <w:start w:w="90" w:type="dxa"/>
              <w:bottom w:w="90" w:type="dxa"/>
              <w:end w:w="90" w:type="dxa"/>
            </w:tcMar>
          </w:tcPr>
          <w:p>
            <w:r>
              <w:rPr>
                <w:b/>
                <w:color w:val="FFFFFF"/>
                <w:sz w:val="17"/>
              </w:rPr>
              <w:t>Verantwortlicher</w:t>
            </w:r>
          </w:p>
        </w:tc>
        <w:tc>
          <w:tcPr>
            <w:tcW w:type="dxa" w:w="2395"/>
            <w:shd w:fill="17324D"/>
            <w:tcMar>
              <w:top w:w="90" w:type="dxa"/>
              <w:start w:w="90" w:type="dxa"/>
              <w:bottom w:w="90" w:type="dxa"/>
              <w:end w:w="90" w:type="dxa"/>
            </w:tcMar>
          </w:tcPr>
          <w:p>
            <w:r>
              <w:rPr>
                <w:b/>
                <w:color w:val="FFFFFF"/>
                <w:sz w:val="17"/>
              </w:rPr>
              <w:t>Liefertermin</w:t>
            </w:r>
          </w:p>
        </w:tc>
        <w:tc>
          <w:tcPr>
            <w:tcW w:type="dxa" w:w="2395"/>
            <w:shd w:fill="17324D"/>
            <w:tcMar>
              <w:top w:w="90" w:type="dxa"/>
              <w:start w:w="90" w:type="dxa"/>
              <w:bottom w:w="90" w:type="dxa"/>
              <w:end w:w="90" w:type="dxa"/>
            </w:tcMar>
          </w:tcPr>
          <w:p>
            <w:r>
              <w:rPr>
                <w:b/>
                <w:color w:val="FFFFFF"/>
                <w:sz w:val="17"/>
              </w:rPr>
              <w:t>Nachweis der Erledigung</w:t>
            </w:r>
          </w:p>
        </w:tc>
      </w:tr>
      <w:tr>
        <w:tc>
          <w:tcPr>
            <w:tcW w:type="dxa" w:w="2835"/>
            <w:tcMar>
              <w:top w:w="90" w:type="dxa"/>
              <w:start w:w="90" w:type="dxa"/>
              <w:bottom w:w="90" w:type="dxa"/>
              <w:end w:w="90" w:type="dxa"/>
            </w:tcMar>
            <w:vAlign w:val="top"/>
          </w:tcPr>
          <w:p>
            <w:pPr>
              <w:spacing w:after="0"/>
            </w:pPr>
            <w:r>
              <w:rPr>
                <w:sz w:val="16"/>
              </w:rPr>
              <w:t>Untersuchungsauftrag</w:t>
            </w:r>
          </w:p>
        </w:tc>
        <w:tc>
          <w:tcPr>
            <w:tcW w:type="dxa" w:w="2494"/>
            <w:tcMar>
              <w:top w:w="90" w:type="dxa"/>
              <w:start w:w="90" w:type="dxa"/>
              <w:bottom w:w="90" w:type="dxa"/>
              <w:end w:w="90" w:type="dxa"/>
            </w:tcMar>
            <w:vAlign w:val="top"/>
          </w:tcPr>
          <w:p>
            <w:pPr>
              <w:spacing w:after="0"/>
            </w:pPr>
            <w:r>
              <w:rPr>
                <w:sz w:val="16"/>
              </w:rPr>
              <w:t>Geschäftsführung</w:t>
            </w:r>
          </w:p>
        </w:tc>
        <w:tc>
          <w:tcPr>
            <w:tcW w:type="dxa" w:w="2098"/>
            <w:tcMar>
              <w:top w:w="90" w:type="dxa"/>
              <w:start w:w="90" w:type="dxa"/>
              <w:bottom w:w="90" w:type="dxa"/>
              <w:end w:w="90" w:type="dxa"/>
            </w:tcMar>
            <w:vAlign w:val="top"/>
          </w:tcPr>
          <w:p>
            <w:pPr>
              <w:spacing w:after="0"/>
            </w:pPr>
            <w:r>
              <w:rPr>
                <w:sz w:val="16"/>
              </w:rPr>
              <w:t>5. Juni 2026</w:t>
            </w:r>
          </w:p>
        </w:tc>
        <w:tc>
          <w:tcPr>
            <w:tcW w:type="dxa" w:w="2835"/>
            <w:tcMar>
              <w:top w:w="90" w:type="dxa"/>
              <w:start w:w="90" w:type="dxa"/>
              <w:bottom w:w="90" w:type="dxa"/>
              <w:end w:w="90" w:type="dxa"/>
            </w:tcMar>
            <w:vAlign w:val="top"/>
          </w:tcPr>
          <w:p>
            <w:pPr>
              <w:spacing w:after="0"/>
            </w:pPr>
            <w:r>
              <w:rPr>
                <w:sz w:val="16"/>
              </w:rPr>
              <w:t>Unterzeichnete Auftragsseite</w:t>
            </w:r>
          </w:p>
        </w:tc>
      </w:tr>
      <w:tr>
        <w:tc>
          <w:tcPr>
            <w:tcW w:type="dxa" w:w="2835"/>
            <w:tcMar>
              <w:top w:w="90" w:type="dxa"/>
              <w:start w:w="90" w:type="dxa"/>
              <w:bottom w:w="90" w:type="dxa"/>
              <w:end w:w="90" w:type="dxa"/>
            </w:tcMar>
            <w:vAlign w:val="top"/>
            <w:shd w:fill="F5F7F8"/>
          </w:tcPr>
          <w:p>
            <w:pPr>
              <w:spacing w:after="0"/>
            </w:pPr>
            <w:r>
              <w:rPr>
                <w:sz w:val="16"/>
              </w:rPr>
              <w:t>Datensicherung</w:t>
            </w:r>
          </w:p>
        </w:tc>
        <w:tc>
          <w:tcPr>
            <w:tcW w:type="dxa" w:w="2494"/>
            <w:tcMar>
              <w:top w:w="90" w:type="dxa"/>
              <w:start w:w="90" w:type="dxa"/>
              <w:bottom w:w="90" w:type="dxa"/>
              <w:end w:w="90" w:type="dxa"/>
            </w:tcMar>
            <w:vAlign w:val="top"/>
            <w:shd w:fill="F5F7F8"/>
          </w:tcPr>
          <w:p>
            <w:pPr>
              <w:spacing w:after="0"/>
            </w:pPr>
            <w:r>
              <w:rPr>
                <w:sz w:val="16"/>
              </w:rPr>
              <w:t>CIO und Meldestelle</w:t>
            </w:r>
          </w:p>
        </w:tc>
        <w:tc>
          <w:tcPr>
            <w:tcW w:type="dxa" w:w="2098"/>
            <w:tcMar>
              <w:top w:w="90" w:type="dxa"/>
              <w:start w:w="90" w:type="dxa"/>
              <w:bottom w:w="90" w:type="dxa"/>
              <w:end w:w="90" w:type="dxa"/>
            </w:tcMar>
            <w:vAlign w:val="top"/>
            <w:shd w:fill="F5F7F8"/>
          </w:tcPr>
          <w:p>
            <w:pPr>
              <w:spacing w:after="0"/>
            </w:pPr>
            <w:r>
              <w:rPr>
                <w:sz w:val="16"/>
              </w:rPr>
              <w:t>5. Juni 2026, 18:00 Uhr</w:t>
            </w:r>
          </w:p>
        </w:tc>
        <w:tc>
          <w:tcPr>
            <w:tcW w:type="dxa" w:w="2835"/>
            <w:tcMar>
              <w:top w:w="90" w:type="dxa"/>
              <w:start w:w="90" w:type="dxa"/>
              <w:bottom w:w="90" w:type="dxa"/>
              <w:end w:w="90" w:type="dxa"/>
            </w:tcMar>
            <w:vAlign w:val="top"/>
            <w:shd w:fill="F5F7F8"/>
          </w:tcPr>
          <w:p>
            <w:pPr>
              <w:spacing w:after="0"/>
            </w:pPr>
            <w:r>
              <w:rPr>
                <w:sz w:val="16"/>
              </w:rPr>
              <w:t>Hash- und Zugriffsprotokoll</w:t>
            </w:r>
          </w:p>
        </w:tc>
      </w:tr>
      <w:tr>
        <w:tc>
          <w:tcPr>
            <w:tcW w:type="dxa" w:w="2835"/>
            <w:tcMar>
              <w:top w:w="90" w:type="dxa"/>
              <w:start w:w="90" w:type="dxa"/>
              <w:bottom w:w="90" w:type="dxa"/>
              <w:end w:w="90" w:type="dxa"/>
            </w:tcMar>
            <w:vAlign w:val="top"/>
          </w:tcPr>
          <w:p>
            <w:pPr>
              <w:spacing w:after="0"/>
            </w:pPr>
            <w:r>
              <w:rPr>
                <w:sz w:val="16"/>
              </w:rPr>
              <w:t>NDA-Fassung</w:t>
            </w:r>
          </w:p>
        </w:tc>
        <w:tc>
          <w:tcPr>
            <w:tcW w:type="dxa" w:w="2494"/>
            <w:tcMar>
              <w:top w:w="90" w:type="dxa"/>
              <w:start w:w="90" w:type="dxa"/>
              <w:bottom w:w="90" w:type="dxa"/>
              <w:end w:w="90" w:type="dxa"/>
            </w:tcMar>
            <w:vAlign w:val="top"/>
          </w:tcPr>
          <w:p>
            <w:pPr>
              <w:spacing w:after="0"/>
            </w:pPr>
            <w:r>
              <w:rPr>
                <w:sz w:val="16"/>
              </w:rPr>
              <w:t>Leitung Recht</w:t>
            </w:r>
          </w:p>
        </w:tc>
        <w:tc>
          <w:tcPr>
            <w:tcW w:type="dxa" w:w="2098"/>
            <w:tcMar>
              <w:top w:w="90" w:type="dxa"/>
              <w:start w:w="90" w:type="dxa"/>
              <w:bottom w:w="90" w:type="dxa"/>
              <w:end w:w="90" w:type="dxa"/>
            </w:tcMar>
            <w:vAlign w:val="top"/>
          </w:tcPr>
          <w:p>
            <w:pPr>
              <w:spacing w:after="0"/>
            </w:pPr>
            <w:r>
              <w:rPr>
                <w:sz w:val="16"/>
              </w:rPr>
              <w:t>6. Juni 2026</w:t>
            </w:r>
          </w:p>
        </w:tc>
        <w:tc>
          <w:tcPr>
            <w:tcW w:type="dxa" w:w="2835"/>
            <w:tcMar>
              <w:top w:w="90" w:type="dxa"/>
              <w:start w:w="90" w:type="dxa"/>
              <w:bottom w:w="90" w:type="dxa"/>
              <w:end w:w="90" w:type="dxa"/>
            </w:tcMar>
            <w:vAlign w:val="top"/>
          </w:tcPr>
          <w:p>
            <w:pPr>
              <w:spacing w:after="0"/>
            </w:pPr>
            <w:r>
              <w:rPr>
                <w:sz w:val="16"/>
              </w:rPr>
              <w:t>Versionierte Redline und Versandfreigabe</w:t>
            </w:r>
          </w:p>
        </w:tc>
      </w:tr>
      <w:tr>
        <w:tc>
          <w:tcPr>
            <w:tcW w:type="dxa" w:w="2835"/>
            <w:tcMar>
              <w:top w:w="90" w:type="dxa"/>
              <w:start w:w="90" w:type="dxa"/>
              <w:bottom w:w="90" w:type="dxa"/>
              <w:end w:w="90" w:type="dxa"/>
            </w:tcMar>
            <w:vAlign w:val="top"/>
            <w:shd w:fill="F5F7F8"/>
          </w:tcPr>
          <w:p>
            <w:pPr>
              <w:spacing w:after="0"/>
            </w:pPr>
            <w:r>
              <w:rPr>
                <w:sz w:val="16"/>
              </w:rPr>
              <w:t>HR-Vorakten</w:t>
            </w:r>
          </w:p>
        </w:tc>
        <w:tc>
          <w:tcPr>
            <w:tcW w:type="dxa" w:w="2494"/>
            <w:tcMar>
              <w:top w:w="90" w:type="dxa"/>
              <w:start w:w="90" w:type="dxa"/>
              <w:bottom w:w="90" w:type="dxa"/>
              <w:end w:w="90" w:type="dxa"/>
            </w:tcMar>
            <w:vAlign w:val="top"/>
            <w:shd w:fill="F5F7F8"/>
          </w:tcPr>
          <w:p>
            <w:pPr>
              <w:spacing w:after="0"/>
            </w:pPr>
            <w:r>
              <w:rPr>
                <w:sz w:val="16"/>
              </w:rPr>
              <w:t>Personalleitung</w:t>
            </w:r>
          </w:p>
        </w:tc>
        <w:tc>
          <w:tcPr>
            <w:tcW w:type="dxa" w:w="2098"/>
            <w:tcMar>
              <w:top w:w="90" w:type="dxa"/>
              <w:start w:w="90" w:type="dxa"/>
              <w:bottom w:w="90" w:type="dxa"/>
              <w:end w:w="90" w:type="dxa"/>
            </w:tcMar>
            <w:vAlign w:val="top"/>
            <w:shd w:fill="F5F7F8"/>
          </w:tcPr>
          <w:p>
            <w:pPr>
              <w:spacing w:after="0"/>
            </w:pPr>
            <w:r>
              <w:rPr>
                <w:sz w:val="16"/>
              </w:rPr>
              <w:t>6. Juni 2026</w:t>
            </w:r>
          </w:p>
        </w:tc>
        <w:tc>
          <w:tcPr>
            <w:tcW w:type="dxa" w:w="2835"/>
            <w:tcMar>
              <w:top w:w="90" w:type="dxa"/>
              <w:start w:w="90" w:type="dxa"/>
              <w:bottom w:w="90" w:type="dxa"/>
              <w:end w:w="90" w:type="dxa"/>
            </w:tcMar>
            <w:vAlign w:val="top"/>
            <w:shd w:fill="F5F7F8"/>
          </w:tcPr>
          <w:p>
            <w:pPr>
              <w:spacing w:after="0"/>
            </w:pPr>
            <w:r>
              <w:rPr>
                <w:sz w:val="16"/>
              </w:rPr>
              <w:t>Index mit Erstellungs- und Änderungsdaten</w:t>
            </w:r>
          </w:p>
        </w:tc>
      </w:tr>
      <w:tr>
        <w:tc>
          <w:tcPr>
            <w:tcW w:type="dxa" w:w="2835"/>
            <w:tcMar>
              <w:top w:w="90" w:type="dxa"/>
              <w:start w:w="90" w:type="dxa"/>
              <w:bottom w:w="90" w:type="dxa"/>
              <w:end w:w="90" w:type="dxa"/>
            </w:tcMar>
            <w:vAlign w:val="top"/>
          </w:tcPr>
          <w:p>
            <w:pPr>
              <w:spacing w:after="0"/>
            </w:pPr>
            <w:r>
              <w:rPr>
                <w:sz w:val="16"/>
              </w:rPr>
              <w:t>Meldekanal-Maßnahmen</w:t>
            </w:r>
          </w:p>
        </w:tc>
        <w:tc>
          <w:tcPr>
            <w:tcW w:type="dxa" w:w="2494"/>
            <w:tcMar>
              <w:top w:w="90" w:type="dxa"/>
              <w:start w:w="90" w:type="dxa"/>
              <w:bottom w:w="90" w:type="dxa"/>
              <w:end w:w="90" w:type="dxa"/>
            </w:tcMar>
            <w:vAlign w:val="top"/>
          </w:tcPr>
          <w:p>
            <w:pPr>
              <w:spacing w:after="0"/>
            </w:pPr>
            <w:r>
              <w:rPr>
                <w:sz w:val="16"/>
              </w:rPr>
              <w:t>CIO</w:t>
            </w:r>
          </w:p>
        </w:tc>
        <w:tc>
          <w:tcPr>
            <w:tcW w:type="dxa" w:w="2098"/>
            <w:tcMar>
              <w:top w:w="90" w:type="dxa"/>
              <w:start w:w="90" w:type="dxa"/>
              <w:bottom w:w="90" w:type="dxa"/>
              <w:end w:w="90" w:type="dxa"/>
            </w:tcMar>
            <w:vAlign w:val="top"/>
          </w:tcPr>
          <w:p>
            <w:pPr>
              <w:spacing w:after="0"/>
            </w:pPr>
            <w:r>
              <w:rPr>
                <w:sz w:val="16"/>
              </w:rPr>
              <w:t>10. Juni 2026</w:t>
            </w:r>
          </w:p>
        </w:tc>
        <w:tc>
          <w:tcPr>
            <w:tcW w:type="dxa" w:w="2835"/>
            <w:tcMar>
              <w:top w:w="90" w:type="dxa"/>
              <w:start w:w="90" w:type="dxa"/>
              <w:bottom w:w="90" w:type="dxa"/>
              <w:end w:w="90" w:type="dxa"/>
            </w:tcMar>
            <w:vAlign w:val="top"/>
          </w:tcPr>
          <w:p>
            <w:pPr>
              <w:spacing w:after="0"/>
            </w:pPr>
            <w:r>
              <w:rPr>
                <w:sz w:val="16"/>
              </w:rPr>
              <w:t>Ticketnummern und Abnahmeprotokoll</w:t>
            </w:r>
          </w:p>
        </w:tc>
      </w:tr>
    </w:tbl>
    <w:p>
      <w:pPr>
        <w:spacing w:after="20"/>
      </w:pPr>
    </w:p>
    <w:p>
      <w:pPr>
        <w:keepLines/>
        <w:spacing w:before="120"/>
      </w:pPr>
      <w:r>
        <w:rPr>
          <w:b/>
        </w:rPr>
        <w:t>Dr. Nora Wedekind · Leitung Recht</w:t>
      </w:r>
    </w:p>
    <w:sectPr w:rsidR="00FC693F" w:rsidRPr="0006063C" w:rsidSect="00034616">
      <w:footerReference w:type="default" r:id="rId9"/>
      <w:pgSz w:w="11906" w:h="16838"/>
      <w:pgMar w:top="1247" w:right="1134" w:bottom="1020" w:left="1191"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color w:val="59636B"/>
        <w:sz w:val="16"/>
      </w:rPr>
      <w:t xml:space="preserve">WALDKRONE HEALTHTECH GMBH · WKH-GL-2026-41 · Seite </w:t>
    </w:r>
    <w: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rial" w:hAnsi="Arial"/>
      <w:color w:val="20262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bCs/>
      <w:color w:val="17324D"/>
      <w:sz w:val="2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2E668B"/>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200"/>
      <w:contextualSpacing/>
    </w:pPr>
    <w:rPr>
      <w:rFonts w:asciiTheme="majorHAnsi" w:eastAsiaTheme="majorEastAsia" w:hAnsiTheme="majorHAnsi" w:cstheme="majorBidi" w:ascii="Arial" w:hAnsi="Arial"/>
      <w:b/>
      <w:color w:val="17324D"/>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