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59" w:lineRule="auto"/>
        <w:jc w:val="left"/>
      </w:pPr>
      <w:r>
        <w:rPr>
          <w:rFonts w:ascii="Times New Roman" w:hAnsi="Times New Roman"/>
          <w:b w:val="0"/>
          <w:i w:val="0"/>
          <w:sz w:val="22"/>
        </w:rPr>
        <w:t>Lindenhof und Partner mbB | Aktenzeichen intern 2026-INS-7854</w:t>
      </w:r>
    </w:p>
    <w:p>
      <w:pPr>
        <w:pStyle w:val="Heading1"/>
        <w:spacing w:before="120" w:after="60" w:line="259" w:lineRule="auto"/>
      </w:pPr>
      <w:r>
        <w:rPr>
          <w:rFonts w:ascii="Times New Roman" w:hAnsi="Times New Roman"/>
          <w:b/>
          <w:sz w:val="22"/>
        </w:rPr>
        <w:t>Mietvertrag Kautionsklausel</w:t>
      </w:r>
    </w:p>
    <w:p>
      <w:pPr>
        <w:spacing w:line="259" w:lineRule="auto" w:after="60"/>
        <w:jc w:val="both"/>
      </w:pPr>
      <w:r>
        <w:t>Die Kaution beträgt 64.400 EUR und sollte auf einem separaten Konto angelegt werden. Die Klausel erlaubt Verrechnung mit fälligen Ansprüchen, spricht aber nicht sauber zwischen laufendem Mietverhältnis und Insolvenzverfahren.</w:t>
      </w:r>
    </w:p>
    <w:p>
      <w:pPr>
        <w:spacing w:line="259" w:lineRule="auto" w:after="60"/>
        <w:jc w:val="both"/>
      </w:pPr>
      <w:r>
        <w:t>Die Rückbaupflichten sind in einer Anlage geregelt, die bisher nur als Scan vorliegt.</w:t>
      </w:r>
    </w:p>
    <w:p>
      <w:pPr>
        <w:pStyle w:val="Heading1"/>
      </w:pPr>
      <w:r>
        <w:t>Beglaubigter Vertragsauszug</w:t>
      </w:r>
    </w:p>
    <w:p>
      <w:pPr>
        <w:pStyle w:val="Heading2"/>
      </w:pPr>
      <w:r>
        <w:t>Vertragsdaten</w:t>
      </w:r>
    </w:p>
    <w:p>
      <w:r>
        <w:t>Vermieterin ist die WVB Grundbesitz Charlottenburg GmbH &amp; Co. KG, Mieterin die Flexhof Berlin GmbH. Mietobjekt sind 890 Quadratmeter im Erdgeschoss und ersten Obergeschoss der Kantstraße 88–90 in Berlin sowie vierzehn Tiefgaragenstellplätze. Mietbeginn ist der 1. Mai 2022; die Nettokaltmiete beträgt 18400,00 EUR.</w:t>
      </w:r>
    </w:p>
    <w:p>
      <w:r>
        <w:t>Paragraf 12 des am 14. März 2022 unterzeichneten Vertrags verlangt drei Nettokaltmieten, mithin 55200,00 EUR, auf einem offen bezeichneten Kautionskonto. Nachtrag 3 vom 22. November 2024 erhöht die Sicherheit wegen der zusätzlichen Büroboxen um 9200,00 EUR auf 64400,00 EUR.</w:t>
      </w:r>
    </w:p>
    <w:p>
      <w:pPr>
        <w:pStyle w:val="Heading2"/>
      </w:pPr>
      <w:r>
        <w:t>Klauselwortlaut und Unterschriften</w:t>
      </w:r>
    </w:p>
    <w:p>
      <w:r>
        <w:t>Die Vermieterin darf sich wegen fälliger und unbestrittener Forderungen aus dem Mietverhältnis aus der Sicherheit befriedigen; die Mieterin hat eine berechtigte Inanspruchnahme binnen zehn Bankarbeitstagen aufzufüllen. Eine Kontoverrechnung mit sonstigen Geschäftskonten ist im Vertrag nicht vorgesehen.</w:t>
      </w:r>
    </w:p>
    <w:p>
      <w:r>
        <w:t>Unterzeichnet in Berlin am 14. März 2022 für die Vermieterin durch Geschäftsführer Rolf Wegener und für die Mieterin durch Geschäftsführerin Mila Hartung. Der Auszug wurde am 17. Juni 2026 von Notarfachangestellter Marie Seldin aus der Vertragsurkunde kopiert.</w:t>
      </w:r>
    </w:p>
    <w:sectPr w:rsidR="00FC693F" w:rsidRPr="0006063C" w:rsidSect="00034616">
      <w:headerReference w:type="default" r:id="rId9"/>
      <w:footerReference w:type="default" r:id="rId10"/>
      <w:pgSz w:w="11906" w:h="16838"/>
      <w:pgMar w:top="1247" w:right="1134"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