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Lindenhof und Partner mbB | Aktenzeichen intern 2026-INS-8700</w:t>
      </w:r>
    </w:p>
    <w:p>
      <w:pPr>
        <w:pStyle w:val="Heading1"/>
        <w:spacing w:before="120" w:after="60" w:line="259" w:lineRule="auto"/>
      </w:pPr>
      <w:r>
        <w:rPr>
          <w:rFonts w:ascii="Times New Roman" w:hAnsi="Times New Roman"/>
          <w:b/>
          <w:sz w:val="22"/>
        </w:rPr>
        <w:t>Vorbereitung Prüfungstermin</w:t>
      </w:r>
    </w:p>
    <w:p>
      <w:pPr>
        <w:spacing w:line="259" w:lineRule="auto" w:after="60"/>
        <w:jc w:val="both"/>
      </w:pPr>
      <w:r>
        <w:t>Die Tabelle trennt bestrittene Forderungen, vorläufig feststellbare Insolvenzforderungen und Punkte, die als Masseverbindlichkeit gesondert zu behandeln sind.</w:t>
      </w:r>
    </w:p>
    <w:p>
      <w:pPr>
        <w:spacing w:line="259" w:lineRule="auto" w:after="60"/>
        <w:jc w:val="both"/>
      </w:pPr>
      <w:r>
        <w:t>Die Anlagenlogik muss so vorbereitet werden, dass Widersprüche im Termin nachvollziehbar begründet werden können.</w:t>
      </w:r>
    </w:p>
    <w:p>
      <w:pPr>
        <w:pStyle w:val="Heading1"/>
      </w:pPr>
      <w:r>
        <w:t>Arbeitsblatt zum Prüfungstermin</w:t>
      </w:r>
    </w:p>
    <w:p>
      <w:pPr>
        <w:pStyle w:val="Heading2"/>
      </w:pPr>
      <w:r>
        <w:t>Termin und Beteiligte</w:t>
      </w:r>
    </w:p>
    <w:p>
      <w:r>
        <w:t>Prüfungstermin ist am 20. Juli 2026 um 09:30 Uhr in Saal 218 des Amtsgerichts Charlottenburg. Für die Verwalterin nehmen Dr. Sabine Threin und Sachbearbeiter Jonas Pohl teil. Die Vermieterin hat Rechtsanwältin Dr. Karen Lindenhof angekündigt; die Berliner Sparkasse übersendet nur schriftliche Auskunft.</w:t>
      </w:r>
    </w:p>
    <w:p>
      <w:r>
        <w:t>Für jede Forderungsnummer werden Anmeldung, Beleg, Rang, Sicherung, bestrittene Teilposition und Erklärung im Termin auf einem eigenen Blatt geführt. Die Nummern 3, 4 und 7 erhalten wegen Zeitraum, Kaution und Unterkundensicherheit gesonderte Anlagenmappen.</w:t>
      </w:r>
    </w:p>
    <w:p>
      <w:pPr>
        <w:pStyle w:val="Heading2"/>
      </w:pPr>
      <w:r>
        <w:t>Vorbereitung</w:t>
      </w:r>
    </w:p>
    <w:p>
      <w:r>
        <w:t>Bis 10. Juli sind Mietkonto, Rückgabeprotokoll und Handwerkerangebote abzugleichen; bis 13. Juli Bankbuchungen und Kautionsverpfändung; bis 16. Juli die Verwalterentscheidung mit Zweitkontrolle. Abweichende Beträge werden nicht in einer Sammelposition verrechnet.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