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Times New Roman" w:hAnsi="Times New Roman"/>
          <w:sz w:val="22"/>
        </w:rPr>
        <w:t>Kanzlei Hagemann &amp; Westarp | Markenrechtliche Mandatsakte | Aktenzeichen intern 2026-MK-3232</w:t>
      </w:r>
    </w:p>
    <w:p>
      <w:pPr>
        <w:pStyle w:val="Heading1"/>
      </w:pPr>
      <w:r>
        <w:t>Vergleichsvorschlag Cooling-off</w:t>
      </w:r>
    </w:p>
    <w:p>
      <w:pPr>
        <w:jc w:val="both"/>
      </w:pPr>
      <w:r>
        <w:t>Der Vorschlag erlaubt CAPSULA42 für Taschen und Accessoires, untersagt aber Sneaker, Sportschuhe und Onlinehandel mit Schuhen in der EU.</w:t>
      </w:r>
    </w:p>
    <w:p>
      <w:pPr>
        <w:jc w:val="both"/>
      </w:pPr>
      <w:r>
        <w:t>Die Gegenseite verlangt Aufbrauchfrist und wechselseitige Nichtangriffszusage.</w:t>
      </w:r>
    </w:p>
    <w:p>
      <w:pPr>
        <w:pStyle w:val="Heading1"/>
      </w:pPr>
      <w:r>
        <w:t>Verhandlungsfassung vom 1. Juli 2026</w:t>
      </w:r>
    </w:p>
    <w:p>
      <w:pPr>
        <w:pStyle w:val="Heading2"/>
      </w:pPr>
      <w:r>
        <w:t>Vorschlag</w:t>
      </w:r>
    </w:p>
    <w:p>
      <w:r>
        <w:t>Die Arbeitsfassung sieht vor, dass CAPSULA42 für Schuhe und Sneaker nicht isoliert benutzt wird und die Anmelderin ihr Verzeichnis in Klasse 25 auf Freizeitbekleidung, Kopfbedeckungen und Socken beschränkt. Für Klasse 35 werden Onlinehandelsdienste in Bezug auf Schuhe und Sportschuhe ausgenommen.</w:t>
      </w:r>
    </w:p>
    <w:p>
      <w:r>
        <w:t>SneakerKapsel GmbH würde bei wirksamer Registerbeschränkung den Widerspruch zurücknehmen. Jede Partei trägt ihre Kosten; bestehende Restbestände und Domainnamen werden in einer gesonderten Übergangsregelung behandelt. Der Text ist weder versandt noch von der Geschäftsführung freigegeben.</w:t>
      </w:r>
    </w:p>
    <w:p>
      <w:pPr>
        <w:pStyle w:val="Heading2"/>
      </w:pPr>
      <w:r>
        <w:t>Kommunikation</w:t>
      </w:r>
    </w:p>
    <w:p>
      <w:r>
        <w:t>Empfängerentwurf an Llorca &amp; Vidal Propiedad Industrial S.L.P., zu Händen Marta Vidal, mit Bezug EUTM 019188642. Antwortfrist vorgeschlagen bis 15. Juli 2026, 17:00 Uhr. Übersetzung und Übereinstimmung beider Sprachfassungen sind vor Versand zu kontrollieren.</w:t>
      </w:r>
    </w:p>
    <w:sectPr w:rsidR="00FC693F" w:rsidRPr="0006063C" w:rsidSect="00034616">
      <w:headerReference w:type="default" r:id="rId9"/>
      <w:footerReference w:type="default" r:id="rId10"/>
      <w:pgSz w:w="11906" w:h="16838"/>
      <w:pgMar w:top="1247" w:right="1134" w:bottom="1020"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sz w:val="18"/>
      </w:rPr>
      <w:t>Kanzlei Hagemann &amp; Westarp | Marken- und Kennzeichenrecht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