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6520"/>
        <w:gridCol w:w="2948"/>
      </w:tblGrid>
      <w:tr>
        <w:tc>
          <w:tcPr>
            <w:tcW w:type="dxa" w:w="4790"/>
            <w:tcMar>
              <w:top w:w="0" w:type="dxa"/>
              <w:start w:w="0" w:type="dxa"/>
              <w:bottom w:w="80" w:type="dxa"/>
              <w:end w:w="80" w:type="dxa"/>
            </w:tcMar>
          </w:tcPr>
          <w:p>
            <w:pPr>
              <w:spacing w:after="20"/>
            </w:pPr>
            <w:r>
              <w:rPr>
                <w:b/>
                <w:color w:val="17324D"/>
                <w:sz w:val="24"/>
              </w:rPr>
              <w:t>BRENNECKE · WENSTEDT RECHTSANWÄLTE</w:t>
            </w:r>
          </w:p>
          <w:p>
            <w:pPr>
              <w:spacing w:after="0"/>
            </w:pPr>
            <w:r>
              <w:rPr>
                <w:color w:val="59636B"/>
                <w:sz w:val="16"/>
              </w:rPr>
              <w:t>Kaiserswerther Straße 183 · 40474 Düsseldorf · Telefon 0211 879 14 0 · cyber@bw-recht.de</w:t>
            </w:r>
          </w:p>
          <w:p>
            <w:pPr>
              <w:spacing w:after="0"/>
            </w:pPr>
            <w:r>
              <w:rPr>
                <w:color w:val="59636B"/>
                <w:sz w:val="16"/>
              </w:rPr>
              <w:t>Partnerschaftsregister AG Essen PR 5207 · Berufshaftpflicht Rheinland Versicherung AG</w:t>
            </w:r>
          </w:p>
        </w:tc>
        <w:tc>
          <w:tcPr>
            <w:tcW w:type="dxa" w:w="4790"/>
            <w:tcMar>
              <w:top w:w="0" w:type="dxa"/>
              <w:start w:w="80" w:type="dxa"/>
              <w:bottom w:w="80" w:type="dxa"/>
              <w:end w:w="0" w:type="dxa"/>
            </w:tcMar>
          </w:tcPr>
          <w:p>
            <w:pPr>
              <w:jc w:val="right"/>
            </w:pPr>
            <w:r>
              <w:rPr>
                <w:b/>
                <w:color w:val="2E668B"/>
                <w:sz w:val="18"/>
              </w:rPr>
              <w:t>MANDATSAUFNAHME · CYBERSICHERHEIT</w:t>
            </w:r>
          </w:p>
        </w:tc>
      </w:tr>
    </w:tbl>
    <w:p>
      <w:pPr>
        <w:spacing w:after="160"/>
        <w:pBdr>
          <w:bottom w:val="single" w:sz="10" w:space="1" w:color="2E668B"/>
        </w:pBdr>
      </w:pPr>
    </w:p>
    <w:p>
      <w:pPr>
        <w:pStyle w:val="Title"/>
      </w:pPr>
      <w:r>
        <w:t>Mandatsaufnahme Lahnwerke Maschinenbau AG</w:t>
      </w:r>
    </w:p>
    <w:p>
      <w:pPr>
        <w:spacing w:after="180"/>
      </w:pPr>
      <w:r>
        <w:rPr>
          <w:b/>
          <w:color w:val="2E668B"/>
        </w:rPr>
        <w:t>VPN-Vorfall, Slack-Rollout, Ortungstechnik, Wiederanlauf und Leitungsvorlage</w:t>
      </w:r>
    </w:p>
    <w:tbl>
      <w:tblPr>
        <w:tblW w:type="auto" w:w="0"/>
        <w:tblLayout w:type="fixed"/>
        <w:tblLook w:firstColumn="1" w:firstRow="1" w:lastColumn="0" w:lastRow="0" w:noHBand="0" w:noVBand="1" w:val="04A0"/>
      </w:tblPr>
      <w:tblGrid>
        <w:gridCol w:w="2268"/>
        <w:gridCol w:w="7200"/>
      </w:tblGrid>
      <w:tr>
        <w:tc>
          <w:tcPr>
            <w:tcW w:type="dxa" w:w="2268"/>
            <w:shd w:fill="EAF1F5"/>
            <w:tcMar>
              <w:top w:w="90" w:type="dxa"/>
              <w:start w:w="90" w:type="dxa"/>
              <w:bottom w:w="90" w:type="dxa"/>
              <w:end w:w="90" w:type="dxa"/>
            </w:tcMar>
            <w:vAlign w:val="center"/>
          </w:tcPr>
          <w:p>
            <w:pPr>
              <w:spacing w:after="0"/>
            </w:pPr>
            <w:r>
              <w:rPr>
                <w:b/>
                <w:sz w:val="18"/>
              </w:rPr>
              <w:t>Aufgenommen</w:t>
            </w:r>
          </w:p>
        </w:tc>
        <w:tc>
          <w:tcPr>
            <w:tcW w:type="dxa" w:w="7200"/>
            <w:tcMar>
              <w:top w:w="90" w:type="dxa"/>
              <w:start w:w="90" w:type="dxa"/>
              <w:bottom w:w="90" w:type="dxa"/>
              <w:end w:w="90" w:type="dxa"/>
            </w:tcMar>
            <w:vAlign w:val="center"/>
          </w:tcPr>
          <w:p>
            <w:pPr>
              <w:spacing w:after="0"/>
            </w:pPr>
            <w:r>
              <w:rPr>
                <w:sz w:val="18"/>
              </w:rPr>
              <w:t>26. Mai 2026, 09:15 Uhr, Videokonferenz</w:t>
            </w:r>
          </w:p>
        </w:tc>
      </w:tr>
      <w:tr>
        <w:tc>
          <w:tcPr>
            <w:tcW w:type="dxa" w:w="2268"/>
            <w:shd w:fill="EAF1F5"/>
            <w:tcMar>
              <w:top w:w="90" w:type="dxa"/>
              <w:start w:w="90" w:type="dxa"/>
              <w:bottom w:w="90" w:type="dxa"/>
              <w:end w:w="90" w:type="dxa"/>
            </w:tcMar>
            <w:vAlign w:val="center"/>
          </w:tcPr>
          <w:p>
            <w:pPr>
              <w:spacing w:after="0"/>
            </w:pPr>
            <w:r>
              <w:rPr>
                <w:b/>
                <w:sz w:val="18"/>
              </w:rPr>
              <w:t>Mandantin</w:t>
            </w:r>
          </w:p>
        </w:tc>
        <w:tc>
          <w:tcPr>
            <w:tcW w:type="dxa" w:w="7200"/>
            <w:tcMar>
              <w:top w:w="90" w:type="dxa"/>
              <w:start w:w="90" w:type="dxa"/>
              <w:bottom w:w="90" w:type="dxa"/>
              <w:end w:w="90" w:type="dxa"/>
            </w:tcMar>
            <w:vAlign w:val="center"/>
          </w:tcPr>
          <w:p>
            <w:pPr>
              <w:spacing w:after="0"/>
            </w:pPr>
            <w:r>
              <w:rPr>
                <w:sz w:val="18"/>
              </w:rPr>
              <w:t>Lahnwerke Maschinenbau AG, Werkstraße 140, 35576 Wetzlar</w:t>
            </w:r>
          </w:p>
        </w:tc>
      </w:tr>
      <w:tr>
        <w:tc>
          <w:tcPr>
            <w:tcW w:type="dxa" w:w="2268"/>
            <w:shd w:fill="EAF1F5"/>
            <w:tcMar>
              <w:top w:w="90" w:type="dxa"/>
              <w:start w:w="90" w:type="dxa"/>
              <w:bottom w:w="90" w:type="dxa"/>
              <w:end w:w="90" w:type="dxa"/>
            </w:tcMar>
            <w:vAlign w:val="center"/>
          </w:tcPr>
          <w:p>
            <w:pPr>
              <w:spacing w:after="0"/>
            </w:pPr>
            <w:r>
              <w:rPr>
                <w:b/>
                <w:sz w:val="18"/>
              </w:rPr>
              <w:t>Ansprechpartner</w:t>
            </w:r>
          </w:p>
        </w:tc>
        <w:tc>
          <w:tcPr>
            <w:tcW w:type="dxa" w:w="7200"/>
            <w:tcMar>
              <w:top w:w="90" w:type="dxa"/>
              <w:start w:w="90" w:type="dxa"/>
              <w:bottom w:w="90" w:type="dxa"/>
              <w:end w:w="90" w:type="dxa"/>
            </w:tcMar>
            <w:vAlign w:val="center"/>
          </w:tcPr>
          <w:p>
            <w:pPr>
              <w:spacing w:after="0"/>
            </w:pPr>
            <w:r>
              <w:rPr>
                <w:sz w:val="18"/>
              </w:rPr>
              <w:t>Marlene Seifert, CISO; Dr. Clara Lehnert, Leiterin Recht</w:t>
            </w:r>
          </w:p>
        </w:tc>
      </w:tr>
      <w:tr>
        <w:tc>
          <w:tcPr>
            <w:tcW w:type="dxa" w:w="2268"/>
            <w:shd w:fill="EAF1F5"/>
            <w:tcMar>
              <w:top w:w="90" w:type="dxa"/>
              <w:start w:w="90" w:type="dxa"/>
              <w:bottom w:w="90" w:type="dxa"/>
              <w:end w:w="90" w:type="dxa"/>
            </w:tcMar>
            <w:vAlign w:val="center"/>
          </w:tcPr>
          <w:p>
            <w:pPr>
              <w:spacing w:after="0"/>
            </w:pPr>
            <w:r>
              <w:rPr>
                <w:b/>
                <w:sz w:val="18"/>
              </w:rPr>
              <w:t>Vorstandstermin</w:t>
            </w:r>
          </w:p>
        </w:tc>
        <w:tc>
          <w:tcPr>
            <w:tcW w:type="dxa" w:w="7200"/>
            <w:tcMar>
              <w:top w:w="90" w:type="dxa"/>
              <w:start w:w="90" w:type="dxa"/>
              <w:bottom w:w="90" w:type="dxa"/>
              <w:end w:w="90" w:type="dxa"/>
            </w:tcMar>
            <w:vAlign w:val="center"/>
          </w:tcPr>
          <w:p>
            <w:pPr>
              <w:spacing w:after="0"/>
            </w:pPr>
            <w:r>
              <w:rPr>
                <w:sz w:val="18"/>
              </w:rPr>
              <w:t>29. Mai 2026, 08:30 Uhr; Folgebeschluss 12. Juni 2026</w:t>
            </w:r>
          </w:p>
        </w:tc>
      </w:tr>
      <w:tr>
        <w:tc>
          <w:tcPr>
            <w:tcW w:type="dxa" w:w="2268"/>
            <w:shd w:fill="EAF1F5"/>
            <w:tcMar>
              <w:top w:w="90" w:type="dxa"/>
              <w:start w:w="90" w:type="dxa"/>
              <w:bottom w:w="90" w:type="dxa"/>
              <w:end w:w="90" w:type="dxa"/>
            </w:tcMar>
            <w:vAlign w:val="center"/>
          </w:tcPr>
          <w:p>
            <w:pPr>
              <w:spacing w:after="0"/>
            </w:pPr>
            <w:r>
              <w:rPr>
                <w:b/>
                <w:sz w:val="18"/>
              </w:rPr>
              <w:t>Sachbearbeitung</w:t>
            </w:r>
          </w:p>
        </w:tc>
        <w:tc>
          <w:tcPr>
            <w:tcW w:type="dxa" w:w="7200"/>
            <w:tcMar>
              <w:top w:w="90" w:type="dxa"/>
              <w:start w:w="90" w:type="dxa"/>
              <w:bottom w:w="90" w:type="dxa"/>
              <w:end w:w="90" w:type="dxa"/>
            </w:tcMar>
            <w:vAlign w:val="center"/>
          </w:tcPr>
          <w:p>
            <w:pPr>
              <w:spacing w:after="0"/>
            </w:pPr>
            <w:r>
              <w:rPr>
                <w:sz w:val="18"/>
              </w:rPr>
              <w:t>Dr. Henning Brennecke, Rechtsanwalt; Lisa Wenstedt, Rechtsanwältin</w:t>
            </w:r>
          </w:p>
        </w:tc>
      </w:tr>
    </w:tbl>
    <w:p>
      <w:pPr>
        <w:spacing w:after="20"/>
      </w:pPr>
    </w:p>
    <w:p>
      <w:pPr>
        <w:pStyle w:val="Heading1"/>
      </w:pPr>
      <w:r>
        <w:t>1. Anlass und betrieblicher Kontext</w:t>
      </w:r>
    </w:p>
    <w:p>
      <w:pPr>
        <w:widowControl/>
      </w:pPr>
      <w:r>
        <w:t>Die Lahnwerke Maschinenbau AG betreibt Produktionsanlagen in Wetzlar und Gießen, ein zentrales Ersatzteillager, 88 Servicefahrzeuge und Fernwartungszugänge für Kundenanlagen. Nach einem ungewöhnlichen Login über den VPN-Zugang des Wartungsunternehmens Frankenturm Automation soll der Vorstand über Sofortmaßnahmen und eine zwölfmonatige Sicherheitsroadmap entscheiden.</w:t>
      </w:r>
    </w:p>
    <w:p>
      <w:pPr>
        <w:widowControl/>
      </w:pPr>
      <w:r>
        <w:t>Parallel laufen vier Vorhaben mit unterschiedlichen Risiken: externe Slack-Kanäle für Großkunden, Verwaltung von Firmenmobiltelefonen, AirTags an Werkzeugcontainern sowie Erneuerung des Code-Signing-Zertifikats für die Firmware-Pipeline. Der Wiederanlauftest vom 14. Mai war für den Fileserver erfolgreich, für ERP und Active Directory jedoch unvollständig.</w:t>
      </w:r>
    </w:p>
    <w:p>
      <w:pPr>
        <w:pStyle w:val="Heading1"/>
      </w:pPr>
      <w:r>
        <w:t>2. Übergebener Tatsachenstand</w:t>
      </w:r>
    </w:p>
    <w:tbl>
      <w:tblPr>
        <w:tblStyle w:val="TableGrid"/>
        <w:tblW w:type="auto" w:w="0"/>
        <w:tblLayout w:type="fixed"/>
        <w:tblLook w:firstColumn="1" w:firstRow="1" w:lastColumn="0" w:lastRow="0" w:noHBand="0" w:noVBand="1" w:val="04A0"/>
      </w:tblPr>
      <w:tblGrid>
        <w:gridCol w:w="1984"/>
        <w:gridCol w:w="2665"/>
        <w:gridCol w:w="2665"/>
        <w:gridCol w:w="2721"/>
      </w:tblGrid>
      <w:tr>
        <w:tc>
          <w:tcPr>
            <w:tcW w:type="dxa" w:w="2395"/>
            <w:shd w:fill="17324D"/>
            <w:tcMar>
              <w:top w:w="90" w:type="dxa"/>
              <w:start w:w="90" w:type="dxa"/>
              <w:bottom w:w="90" w:type="dxa"/>
              <w:end w:w="90" w:type="dxa"/>
            </w:tcMar>
          </w:tcPr>
          <w:p>
            <w:r>
              <w:rPr>
                <w:b/>
                <w:color w:val="FFFFFF"/>
                <w:sz w:val="17"/>
              </w:rPr>
              <w:t>Vorgang</w:t>
            </w:r>
          </w:p>
        </w:tc>
        <w:tc>
          <w:tcPr>
            <w:tcW w:type="dxa" w:w="2395"/>
            <w:shd w:fill="17324D"/>
            <w:tcMar>
              <w:top w:w="90" w:type="dxa"/>
              <w:start w:w="90" w:type="dxa"/>
              <w:bottom w:w="90" w:type="dxa"/>
              <w:end w:w="90" w:type="dxa"/>
            </w:tcMar>
          </w:tcPr>
          <w:p>
            <w:r>
              <w:rPr>
                <w:b/>
                <w:color w:val="FFFFFF"/>
                <w:sz w:val="17"/>
              </w:rPr>
              <w:t>Vorhandener Beleg</w:t>
            </w:r>
          </w:p>
        </w:tc>
        <w:tc>
          <w:tcPr>
            <w:tcW w:type="dxa" w:w="2395"/>
            <w:shd w:fill="17324D"/>
            <w:tcMar>
              <w:top w:w="90" w:type="dxa"/>
              <w:start w:w="90" w:type="dxa"/>
              <w:bottom w:w="90" w:type="dxa"/>
              <w:end w:w="90" w:type="dxa"/>
            </w:tcMar>
          </w:tcPr>
          <w:p>
            <w:r>
              <w:rPr>
                <w:b/>
                <w:color w:val="FFFFFF"/>
                <w:sz w:val="17"/>
              </w:rPr>
              <w:t>Konkrete Lücke</w:t>
            </w:r>
          </w:p>
        </w:tc>
        <w:tc>
          <w:tcPr>
            <w:tcW w:type="dxa" w:w="2395"/>
            <w:shd w:fill="17324D"/>
            <w:tcMar>
              <w:top w:w="90" w:type="dxa"/>
              <w:start w:w="90" w:type="dxa"/>
              <w:bottom w:w="90" w:type="dxa"/>
              <w:end w:w="90" w:type="dxa"/>
            </w:tcMar>
          </w:tcPr>
          <w:p>
            <w:r>
              <w:rPr>
                <w:b/>
                <w:color w:val="FFFFFF"/>
                <w:sz w:val="17"/>
              </w:rPr>
              <w:t>Betriebliche Auswirkung</w:t>
            </w:r>
          </w:p>
        </w:tc>
      </w:tr>
      <w:tr>
        <w:tc>
          <w:tcPr>
            <w:tcW w:type="dxa" w:w="1984"/>
            <w:tcMar>
              <w:top w:w="90" w:type="dxa"/>
              <w:start w:w="90" w:type="dxa"/>
              <w:bottom w:w="90" w:type="dxa"/>
              <w:end w:w="90" w:type="dxa"/>
            </w:tcMar>
            <w:vAlign w:val="top"/>
          </w:tcPr>
          <w:p>
            <w:pPr>
              <w:spacing w:after="0"/>
            </w:pPr>
            <w:r>
              <w:rPr>
                <w:sz w:val="16"/>
              </w:rPr>
              <w:t>Lieferanten-VPN</w:t>
            </w:r>
          </w:p>
        </w:tc>
        <w:tc>
          <w:tcPr>
            <w:tcW w:type="dxa" w:w="2665"/>
            <w:tcMar>
              <w:top w:w="90" w:type="dxa"/>
              <w:start w:w="90" w:type="dxa"/>
              <w:bottom w:w="90" w:type="dxa"/>
              <w:end w:w="90" w:type="dxa"/>
            </w:tcMar>
            <w:vAlign w:val="top"/>
          </w:tcPr>
          <w:p>
            <w:pPr>
              <w:spacing w:after="0"/>
            </w:pPr>
            <w:r>
              <w:rPr>
                <w:sz w:val="16"/>
              </w:rPr>
              <w:t>E-Mail des Dienstleisters und SIEM-Screenshot</w:t>
            </w:r>
          </w:p>
        </w:tc>
        <w:tc>
          <w:tcPr>
            <w:tcW w:type="dxa" w:w="2665"/>
            <w:tcMar>
              <w:top w:w="90" w:type="dxa"/>
              <w:start w:w="90" w:type="dxa"/>
              <w:bottom w:w="90" w:type="dxa"/>
              <w:end w:w="90" w:type="dxa"/>
            </w:tcMar>
            <w:vAlign w:val="top"/>
          </w:tcPr>
          <w:p>
            <w:pPr>
              <w:spacing w:after="0"/>
            </w:pPr>
            <w:r>
              <w:rPr>
                <w:sz w:val="16"/>
              </w:rPr>
              <w:t>Benutzer, Quelle, Sessionprotokoll und Auftragsbezug</w:t>
            </w:r>
          </w:p>
        </w:tc>
        <w:tc>
          <w:tcPr>
            <w:tcW w:type="dxa" w:w="2721"/>
            <w:tcMar>
              <w:top w:w="90" w:type="dxa"/>
              <w:start w:w="90" w:type="dxa"/>
              <w:bottom w:w="90" w:type="dxa"/>
              <w:end w:w="90" w:type="dxa"/>
            </w:tcMar>
            <w:vAlign w:val="top"/>
          </w:tcPr>
          <w:p>
            <w:pPr>
              <w:spacing w:after="0"/>
            </w:pPr>
            <w:r>
              <w:rPr>
                <w:sz w:val="16"/>
              </w:rPr>
              <w:t>Pressenwartung und Zugriff auf Produktionsnetz</w:t>
            </w:r>
          </w:p>
        </w:tc>
      </w:tr>
      <w:tr>
        <w:tc>
          <w:tcPr>
            <w:tcW w:type="dxa" w:w="1984"/>
            <w:tcMar>
              <w:top w:w="90" w:type="dxa"/>
              <w:start w:w="90" w:type="dxa"/>
              <w:bottom w:w="90" w:type="dxa"/>
              <w:end w:w="90" w:type="dxa"/>
            </w:tcMar>
            <w:vAlign w:val="top"/>
            <w:shd w:fill="F5F7F8"/>
          </w:tcPr>
          <w:p>
            <w:pPr>
              <w:spacing w:after="0"/>
            </w:pPr>
            <w:r>
              <w:rPr>
                <w:sz w:val="16"/>
              </w:rPr>
              <w:t>Slack</w:t>
            </w:r>
          </w:p>
        </w:tc>
        <w:tc>
          <w:tcPr>
            <w:tcW w:type="dxa" w:w="2665"/>
            <w:tcMar>
              <w:top w:w="90" w:type="dxa"/>
              <w:start w:w="90" w:type="dxa"/>
              <w:bottom w:w="90" w:type="dxa"/>
              <w:end w:w="90" w:type="dxa"/>
            </w:tcMar>
            <w:vAlign w:val="top"/>
            <w:shd w:fill="F5F7F8"/>
          </w:tcPr>
          <w:p>
            <w:pPr>
              <w:spacing w:after="0"/>
            </w:pPr>
            <w:r>
              <w:rPr>
                <w:sz w:val="16"/>
              </w:rPr>
              <w:t>Security-Memo und Policy-Entwurf</w:t>
            </w:r>
          </w:p>
        </w:tc>
        <w:tc>
          <w:tcPr>
            <w:tcW w:type="dxa" w:w="2665"/>
            <w:tcMar>
              <w:top w:w="90" w:type="dxa"/>
              <w:start w:w="90" w:type="dxa"/>
              <w:bottom w:w="90" w:type="dxa"/>
              <w:end w:w="90" w:type="dxa"/>
            </w:tcMar>
            <w:vAlign w:val="top"/>
            <w:shd w:fill="F5F7F8"/>
          </w:tcPr>
          <w:p>
            <w:pPr>
              <w:spacing w:after="0"/>
            </w:pPr>
            <w:r>
              <w:rPr>
                <w:sz w:val="16"/>
              </w:rPr>
              <w:t>Datenklassen, Gastkonten, Aufbewahrung und Export</w:t>
            </w:r>
          </w:p>
        </w:tc>
        <w:tc>
          <w:tcPr>
            <w:tcW w:type="dxa" w:w="2721"/>
            <w:tcMar>
              <w:top w:w="90" w:type="dxa"/>
              <w:start w:w="90" w:type="dxa"/>
              <w:bottom w:w="90" w:type="dxa"/>
              <w:end w:w="90" w:type="dxa"/>
            </w:tcMar>
            <w:vAlign w:val="top"/>
            <w:shd w:fill="F5F7F8"/>
          </w:tcPr>
          <w:p>
            <w:pPr>
              <w:spacing w:after="0"/>
            </w:pPr>
            <w:r>
              <w:rPr>
                <w:sz w:val="16"/>
              </w:rPr>
              <w:t>Vertrieb will zwei Kundenkanäle sofort öffnen</w:t>
            </w:r>
          </w:p>
        </w:tc>
      </w:tr>
      <w:tr>
        <w:tc>
          <w:tcPr>
            <w:tcW w:type="dxa" w:w="1984"/>
            <w:tcMar>
              <w:top w:w="90" w:type="dxa"/>
              <w:start w:w="90" w:type="dxa"/>
              <w:bottom w:w="90" w:type="dxa"/>
              <w:end w:w="90" w:type="dxa"/>
            </w:tcMar>
            <w:vAlign w:val="top"/>
          </w:tcPr>
          <w:p>
            <w:pPr>
              <w:spacing w:after="0"/>
            </w:pPr>
            <w:r>
              <w:rPr>
                <w:sz w:val="16"/>
              </w:rPr>
              <w:t>AirTags</w:t>
            </w:r>
          </w:p>
        </w:tc>
        <w:tc>
          <w:tcPr>
            <w:tcW w:type="dxa" w:w="2665"/>
            <w:tcMar>
              <w:top w:w="90" w:type="dxa"/>
              <w:start w:w="90" w:type="dxa"/>
              <w:bottom w:w="90" w:type="dxa"/>
              <w:end w:w="90" w:type="dxa"/>
            </w:tcMar>
            <w:vAlign w:val="top"/>
          </w:tcPr>
          <w:p>
            <w:pPr>
              <w:spacing w:after="0"/>
            </w:pPr>
            <w:r>
              <w:rPr>
                <w:sz w:val="16"/>
              </w:rPr>
              <w:t>Assetliste und Betriebsratsmail</w:t>
            </w:r>
          </w:p>
        </w:tc>
        <w:tc>
          <w:tcPr>
            <w:tcW w:type="dxa" w:w="2665"/>
            <w:tcMar>
              <w:top w:w="90" w:type="dxa"/>
              <w:start w:w="90" w:type="dxa"/>
              <w:bottom w:w="90" w:type="dxa"/>
              <w:end w:w="90" w:type="dxa"/>
            </w:tcMar>
            <w:vAlign w:val="top"/>
          </w:tcPr>
          <w:p>
            <w:pPr>
              <w:spacing w:after="0"/>
            </w:pPr>
            <w:r>
              <w:rPr>
                <w:sz w:val="16"/>
              </w:rPr>
              <w:t>Gerätezuordnung, Zugriffsrechte, Zweck und Löschkonzept</w:t>
            </w:r>
          </w:p>
        </w:tc>
        <w:tc>
          <w:tcPr>
            <w:tcW w:type="dxa" w:w="2721"/>
            <w:tcMar>
              <w:top w:w="90" w:type="dxa"/>
              <w:start w:w="90" w:type="dxa"/>
              <w:bottom w:w="90" w:type="dxa"/>
              <w:end w:w="90" w:type="dxa"/>
            </w:tcMar>
            <w:vAlign w:val="top"/>
          </w:tcPr>
          <w:p>
            <w:pPr>
              <w:spacing w:after="0"/>
            </w:pPr>
            <w:r>
              <w:rPr>
                <w:sz w:val="16"/>
              </w:rPr>
              <w:t>Acht Container bereits ausgerollt</w:t>
            </w:r>
          </w:p>
        </w:tc>
      </w:tr>
      <w:tr>
        <w:tc>
          <w:tcPr>
            <w:tcW w:type="dxa" w:w="1984"/>
            <w:tcMar>
              <w:top w:w="90" w:type="dxa"/>
              <w:start w:w="90" w:type="dxa"/>
              <w:bottom w:w="90" w:type="dxa"/>
              <w:end w:w="90" w:type="dxa"/>
            </w:tcMar>
            <w:vAlign w:val="top"/>
            <w:shd w:fill="F5F7F8"/>
          </w:tcPr>
          <w:p>
            <w:pPr>
              <w:spacing w:after="0"/>
            </w:pPr>
            <w:r>
              <w:rPr>
                <w:sz w:val="16"/>
              </w:rPr>
              <w:t>Wiederanlauf</w:t>
            </w:r>
          </w:p>
        </w:tc>
        <w:tc>
          <w:tcPr>
            <w:tcW w:type="dxa" w:w="2665"/>
            <w:tcMar>
              <w:top w:w="90" w:type="dxa"/>
              <w:start w:w="90" w:type="dxa"/>
              <w:bottom w:w="90" w:type="dxa"/>
              <w:end w:w="90" w:type="dxa"/>
            </w:tcMar>
            <w:vAlign w:val="top"/>
            <w:shd w:fill="F5F7F8"/>
          </w:tcPr>
          <w:p>
            <w:pPr>
              <w:spacing w:after="0"/>
            </w:pPr>
            <w:r>
              <w:rPr>
                <w:sz w:val="16"/>
              </w:rPr>
              <w:t>Protokoll vom 14. Mai</w:t>
            </w:r>
          </w:p>
        </w:tc>
        <w:tc>
          <w:tcPr>
            <w:tcW w:type="dxa" w:w="2665"/>
            <w:tcMar>
              <w:top w:w="90" w:type="dxa"/>
              <w:start w:w="90" w:type="dxa"/>
              <w:bottom w:w="90" w:type="dxa"/>
              <w:end w:w="90" w:type="dxa"/>
            </w:tcMar>
            <w:vAlign w:val="top"/>
            <w:shd w:fill="F5F7F8"/>
          </w:tcPr>
          <w:p>
            <w:pPr>
              <w:spacing w:after="0"/>
            </w:pPr>
            <w:r>
              <w:rPr>
                <w:sz w:val="16"/>
              </w:rPr>
              <w:t>ERP-Abbruchgrund, AD-Recovery und vollständige Messwerte</w:t>
            </w:r>
          </w:p>
        </w:tc>
        <w:tc>
          <w:tcPr>
            <w:tcW w:type="dxa" w:w="2721"/>
            <w:tcMar>
              <w:top w:w="90" w:type="dxa"/>
              <w:start w:w="90" w:type="dxa"/>
              <w:bottom w:w="90" w:type="dxa"/>
              <w:end w:w="90" w:type="dxa"/>
            </w:tcMar>
            <w:vAlign w:val="top"/>
            <w:shd w:fill="F5F7F8"/>
          </w:tcPr>
          <w:p>
            <w:pPr>
              <w:spacing w:after="0"/>
            </w:pPr>
            <w:r>
              <w:rPr>
                <w:sz w:val="16"/>
              </w:rPr>
              <w:t>RTO für Fertigung nicht nachgewiesen</w:t>
            </w:r>
          </w:p>
        </w:tc>
      </w:tr>
      <w:tr>
        <w:tc>
          <w:tcPr>
            <w:tcW w:type="dxa" w:w="1984"/>
            <w:tcMar>
              <w:top w:w="90" w:type="dxa"/>
              <w:start w:w="90" w:type="dxa"/>
              <w:bottom w:w="90" w:type="dxa"/>
              <w:end w:w="90" w:type="dxa"/>
            </w:tcMar>
            <w:vAlign w:val="top"/>
          </w:tcPr>
          <w:p>
            <w:pPr>
              <w:spacing w:after="0"/>
            </w:pPr>
            <w:r>
              <w:rPr>
                <w:sz w:val="16"/>
              </w:rPr>
              <w:t>Code Signing</w:t>
            </w:r>
          </w:p>
        </w:tc>
        <w:tc>
          <w:tcPr>
            <w:tcW w:type="dxa" w:w="2665"/>
            <w:tcMar>
              <w:top w:w="90" w:type="dxa"/>
              <w:start w:w="90" w:type="dxa"/>
              <w:bottom w:w="90" w:type="dxa"/>
              <w:end w:w="90" w:type="dxa"/>
            </w:tcMar>
            <w:vAlign w:val="top"/>
          </w:tcPr>
          <w:p>
            <w:pPr>
              <w:spacing w:after="0"/>
            </w:pPr>
            <w:r>
              <w:rPr>
                <w:sz w:val="16"/>
              </w:rPr>
              <w:t>Zertifikatsnotiz</w:t>
            </w:r>
          </w:p>
        </w:tc>
        <w:tc>
          <w:tcPr>
            <w:tcW w:type="dxa" w:w="2665"/>
            <w:tcMar>
              <w:top w:w="90" w:type="dxa"/>
              <w:start w:w="90" w:type="dxa"/>
              <w:bottom w:w="90" w:type="dxa"/>
              <w:end w:w="90" w:type="dxa"/>
            </w:tcMar>
            <w:vAlign w:val="top"/>
          </w:tcPr>
          <w:p>
            <w:pPr>
              <w:spacing w:after="0"/>
            </w:pPr>
            <w:r>
              <w:rPr>
                <w:sz w:val="16"/>
              </w:rPr>
              <w:t>Schlüsselverwahrung, Rotation und HSM-Beschaffung</w:t>
            </w:r>
          </w:p>
        </w:tc>
        <w:tc>
          <w:tcPr>
            <w:tcW w:type="dxa" w:w="2721"/>
            <w:tcMar>
              <w:top w:w="90" w:type="dxa"/>
              <w:start w:w="90" w:type="dxa"/>
              <w:bottom w:w="90" w:type="dxa"/>
              <w:end w:w="90" w:type="dxa"/>
            </w:tcMar>
            <w:vAlign w:val="top"/>
          </w:tcPr>
          <w:p>
            <w:pPr>
              <w:spacing w:after="0"/>
            </w:pPr>
            <w:r>
              <w:rPr>
                <w:sz w:val="16"/>
              </w:rPr>
              <w:t>Firmware-Release 4.8 am 18. Juni gefährdet</w:t>
            </w:r>
          </w:p>
        </w:tc>
      </w:tr>
      <w:tr>
        <w:tc>
          <w:tcPr>
            <w:tcW w:type="dxa" w:w="1984"/>
            <w:tcMar>
              <w:top w:w="90" w:type="dxa"/>
              <w:start w:w="90" w:type="dxa"/>
              <w:bottom w:w="90" w:type="dxa"/>
              <w:end w:w="90" w:type="dxa"/>
            </w:tcMar>
            <w:vAlign w:val="top"/>
            <w:shd w:fill="F5F7F8"/>
          </w:tcPr>
          <w:p>
            <w:pPr>
              <w:spacing w:after="0"/>
            </w:pPr>
            <w:r>
              <w:rPr>
                <w:sz w:val="16"/>
              </w:rPr>
              <w:t>Betroffenheit und Meldung</w:t>
            </w:r>
          </w:p>
        </w:tc>
        <w:tc>
          <w:tcPr>
            <w:tcW w:type="dxa" w:w="2665"/>
            <w:tcMar>
              <w:top w:w="90" w:type="dxa"/>
              <w:start w:w="90" w:type="dxa"/>
              <w:bottom w:w="90" w:type="dxa"/>
              <w:end w:w="90" w:type="dxa"/>
            </w:tcMar>
            <w:vAlign w:val="top"/>
            <w:shd w:fill="F5F7F8"/>
          </w:tcPr>
          <w:p>
            <w:pPr>
              <w:spacing w:after="0"/>
            </w:pPr>
            <w:r>
              <w:rPr>
                <w:sz w:val="16"/>
              </w:rPr>
              <w:t>Vorläufiger Vermerk</w:t>
            </w:r>
          </w:p>
        </w:tc>
        <w:tc>
          <w:tcPr>
            <w:tcW w:type="dxa" w:w="2665"/>
            <w:tcMar>
              <w:top w:w="90" w:type="dxa"/>
              <w:start w:w="90" w:type="dxa"/>
              <w:bottom w:w="90" w:type="dxa"/>
              <w:end w:w="90" w:type="dxa"/>
            </w:tcMar>
            <w:vAlign w:val="top"/>
            <w:shd w:fill="F5F7F8"/>
          </w:tcPr>
          <w:p>
            <w:pPr>
              <w:spacing w:after="0"/>
            </w:pPr>
            <w:r>
              <w:rPr>
                <w:sz w:val="16"/>
              </w:rPr>
              <w:t>Konzernzahlen, Dienste, Sektorzuordnung und aktuelle Normfassung</w:t>
            </w:r>
          </w:p>
        </w:tc>
        <w:tc>
          <w:tcPr>
            <w:tcW w:type="dxa" w:w="2721"/>
            <w:tcMar>
              <w:top w:w="90" w:type="dxa"/>
              <w:start w:w="90" w:type="dxa"/>
              <w:bottom w:w="90" w:type="dxa"/>
              <w:end w:w="90" w:type="dxa"/>
            </w:tcMar>
            <w:vAlign w:val="top"/>
            <w:shd w:fill="F5F7F8"/>
          </w:tcPr>
          <w:p>
            <w:pPr>
              <w:spacing w:after="0"/>
            </w:pPr>
            <w:r>
              <w:rPr>
                <w:sz w:val="16"/>
              </w:rPr>
              <w:t>Leitungsvorlage darf keine ungesicherte Einordnung übernehmen</w:t>
            </w:r>
          </w:p>
        </w:tc>
      </w:tr>
    </w:tbl>
    <w:p>
      <w:pPr>
        <w:spacing w:after="20"/>
      </w:pPr>
    </w:p>
    <w:p>
      <w:pPr>
        <w:pStyle w:val="Heading1"/>
      </w:pPr>
      <w:r>
        <w:t>3. Arbeitsauftrag bis zur Vorstandssitzung</w:t>
      </w:r>
    </w:p>
    <w:tbl>
      <w:tblPr>
        <w:tblStyle w:val="TableGrid"/>
        <w:tblW w:type="auto" w:w="0"/>
        <w:tblLayout w:type="fixed"/>
        <w:tblLook w:firstColumn="1" w:firstRow="1" w:lastColumn="0" w:lastRow="0" w:noHBand="0" w:noVBand="1" w:val="04A0"/>
      </w:tblPr>
      <w:tblGrid>
        <w:gridCol w:w="2948"/>
        <w:gridCol w:w="1984"/>
        <w:gridCol w:w="1984"/>
        <w:gridCol w:w="3061"/>
      </w:tblGrid>
      <w:tr>
        <w:tc>
          <w:tcPr>
            <w:tcW w:type="dxa" w:w="2395"/>
            <w:shd w:fill="17324D"/>
            <w:tcMar>
              <w:top w:w="90" w:type="dxa"/>
              <w:start w:w="90" w:type="dxa"/>
              <w:bottom w:w="90" w:type="dxa"/>
              <w:end w:w="90" w:type="dxa"/>
            </w:tcMar>
          </w:tcPr>
          <w:p>
            <w:r>
              <w:rPr>
                <w:b/>
                <w:color w:val="FFFFFF"/>
                <w:sz w:val="17"/>
              </w:rPr>
              <w:t>Arbeitspaket</w:t>
            </w:r>
          </w:p>
        </w:tc>
        <w:tc>
          <w:tcPr>
            <w:tcW w:type="dxa" w:w="2395"/>
            <w:shd w:fill="17324D"/>
            <w:tcMar>
              <w:top w:w="90" w:type="dxa"/>
              <w:start w:w="90" w:type="dxa"/>
              <w:bottom w:w="90" w:type="dxa"/>
              <w:end w:w="90" w:type="dxa"/>
            </w:tcMar>
          </w:tcPr>
          <w:p>
            <w:r>
              <w:rPr>
                <w:b/>
                <w:color w:val="FFFFFF"/>
                <w:sz w:val="17"/>
              </w:rPr>
              <w:t>Verantwortlich</w:t>
            </w:r>
          </w:p>
        </w:tc>
        <w:tc>
          <w:tcPr>
            <w:tcW w:type="dxa" w:w="2395"/>
            <w:shd w:fill="17324D"/>
            <w:tcMar>
              <w:top w:w="90" w:type="dxa"/>
              <w:start w:w="90" w:type="dxa"/>
              <w:bottom w:w="90" w:type="dxa"/>
              <w:end w:w="90" w:type="dxa"/>
            </w:tcMar>
          </w:tcPr>
          <w:p>
            <w:r>
              <w:rPr>
                <w:b/>
                <w:color w:val="FFFFFF"/>
                <w:sz w:val="17"/>
              </w:rPr>
              <w:t>Termin</w:t>
            </w:r>
          </w:p>
        </w:tc>
        <w:tc>
          <w:tcPr>
            <w:tcW w:type="dxa" w:w="2395"/>
            <w:shd w:fill="17324D"/>
            <w:tcMar>
              <w:top w:w="90" w:type="dxa"/>
              <w:start w:w="90" w:type="dxa"/>
              <w:bottom w:w="90" w:type="dxa"/>
              <w:end w:w="90" w:type="dxa"/>
            </w:tcMar>
          </w:tcPr>
          <w:p>
            <w:r>
              <w:rPr>
                <w:b/>
                <w:color w:val="FFFFFF"/>
                <w:sz w:val="17"/>
              </w:rPr>
              <w:t>Nachweis</w:t>
            </w:r>
          </w:p>
        </w:tc>
      </w:tr>
      <w:tr>
        <w:tc>
          <w:tcPr>
            <w:tcW w:type="dxa" w:w="2948"/>
            <w:tcMar>
              <w:top w:w="90" w:type="dxa"/>
              <w:start w:w="90" w:type="dxa"/>
              <w:bottom w:w="90" w:type="dxa"/>
              <w:end w:w="90" w:type="dxa"/>
            </w:tcMar>
            <w:vAlign w:val="top"/>
          </w:tcPr>
          <w:p>
            <w:pPr>
              <w:spacing w:after="0"/>
            </w:pPr>
            <w:r>
              <w:rPr>
                <w:sz w:val="16"/>
              </w:rPr>
              <w:t>VPN-Session und betroffene Systeme rekonstruieren</w:t>
            </w:r>
          </w:p>
        </w:tc>
        <w:tc>
          <w:tcPr>
            <w:tcW w:type="dxa" w:w="1984"/>
            <w:tcMar>
              <w:top w:w="90" w:type="dxa"/>
              <w:start w:w="90" w:type="dxa"/>
              <w:bottom w:w="90" w:type="dxa"/>
              <w:end w:w="90" w:type="dxa"/>
            </w:tcMar>
            <w:vAlign w:val="top"/>
          </w:tcPr>
          <w:p>
            <w:pPr>
              <w:spacing w:after="0"/>
            </w:pPr>
            <w:r>
              <w:rPr>
                <w:sz w:val="16"/>
              </w:rPr>
              <w:t>SOC / Frankenturm</w:t>
            </w:r>
          </w:p>
        </w:tc>
        <w:tc>
          <w:tcPr>
            <w:tcW w:type="dxa" w:w="1984"/>
            <w:tcMar>
              <w:top w:w="90" w:type="dxa"/>
              <w:start w:w="90" w:type="dxa"/>
              <w:bottom w:w="90" w:type="dxa"/>
              <w:end w:w="90" w:type="dxa"/>
            </w:tcMar>
            <w:vAlign w:val="top"/>
          </w:tcPr>
          <w:p>
            <w:pPr>
              <w:spacing w:after="0"/>
            </w:pPr>
            <w:r>
              <w:rPr>
                <w:sz w:val="16"/>
              </w:rPr>
              <w:t>27. Mai 2026, 12:00 Uhr</w:t>
            </w:r>
          </w:p>
        </w:tc>
        <w:tc>
          <w:tcPr>
            <w:tcW w:type="dxa" w:w="3061"/>
            <w:tcMar>
              <w:top w:w="90" w:type="dxa"/>
              <w:start w:w="90" w:type="dxa"/>
              <w:bottom w:w="90" w:type="dxa"/>
              <w:end w:w="90" w:type="dxa"/>
            </w:tcMar>
            <w:vAlign w:val="top"/>
          </w:tcPr>
          <w:p>
            <w:pPr>
              <w:spacing w:after="0"/>
            </w:pPr>
            <w:r>
              <w:rPr>
                <w:sz w:val="16"/>
              </w:rPr>
              <w:t>Logpaket, Ticket und Dienstleisterbestätigung</w:t>
            </w:r>
          </w:p>
        </w:tc>
      </w:tr>
      <w:tr>
        <w:tc>
          <w:tcPr>
            <w:tcW w:type="dxa" w:w="2948"/>
            <w:tcMar>
              <w:top w:w="90" w:type="dxa"/>
              <w:start w:w="90" w:type="dxa"/>
              <w:bottom w:w="90" w:type="dxa"/>
              <w:end w:w="90" w:type="dxa"/>
            </w:tcMar>
            <w:vAlign w:val="top"/>
            <w:shd w:fill="F5F7F8"/>
          </w:tcPr>
          <w:p>
            <w:pPr>
              <w:spacing w:after="0"/>
            </w:pPr>
            <w:r>
              <w:rPr>
                <w:sz w:val="16"/>
              </w:rPr>
              <w:t>Rechts- und Unternehmensdaten für Betroffenheit zusammenstellen</w:t>
            </w:r>
          </w:p>
        </w:tc>
        <w:tc>
          <w:tcPr>
            <w:tcW w:type="dxa" w:w="1984"/>
            <w:tcMar>
              <w:top w:w="90" w:type="dxa"/>
              <w:start w:w="90" w:type="dxa"/>
              <w:bottom w:w="90" w:type="dxa"/>
              <w:end w:w="90" w:type="dxa"/>
            </w:tcMar>
            <w:vAlign w:val="top"/>
            <w:shd w:fill="F5F7F8"/>
          </w:tcPr>
          <w:p>
            <w:pPr>
              <w:spacing w:after="0"/>
            </w:pPr>
            <w:r>
              <w:rPr>
                <w:sz w:val="16"/>
              </w:rPr>
              <w:t>Recht / Finanzen</w:t>
            </w:r>
          </w:p>
        </w:tc>
        <w:tc>
          <w:tcPr>
            <w:tcW w:type="dxa" w:w="1984"/>
            <w:tcMar>
              <w:top w:w="90" w:type="dxa"/>
              <w:start w:w="90" w:type="dxa"/>
              <w:bottom w:w="90" w:type="dxa"/>
              <w:end w:w="90" w:type="dxa"/>
            </w:tcMar>
            <w:vAlign w:val="top"/>
            <w:shd w:fill="F5F7F8"/>
          </w:tcPr>
          <w:p>
            <w:pPr>
              <w:spacing w:after="0"/>
            </w:pPr>
            <w:r>
              <w:rPr>
                <w:sz w:val="16"/>
              </w:rPr>
              <w:t>27. Mai 2026, 16:00 Uhr</w:t>
            </w:r>
          </w:p>
        </w:tc>
        <w:tc>
          <w:tcPr>
            <w:tcW w:type="dxa" w:w="3061"/>
            <w:tcMar>
              <w:top w:w="90" w:type="dxa"/>
              <w:start w:w="90" w:type="dxa"/>
              <w:bottom w:w="90" w:type="dxa"/>
              <w:end w:w="90" w:type="dxa"/>
            </w:tcMar>
            <w:vAlign w:val="top"/>
            <w:shd w:fill="F5F7F8"/>
          </w:tcPr>
          <w:p>
            <w:pPr>
              <w:spacing w:after="0"/>
            </w:pPr>
            <w:r>
              <w:rPr>
                <w:sz w:val="16"/>
              </w:rPr>
              <w:t>Quellenblatt mit Register- und Umsatzdaten</w:t>
            </w:r>
          </w:p>
        </w:tc>
      </w:tr>
      <w:tr>
        <w:tc>
          <w:tcPr>
            <w:tcW w:type="dxa" w:w="2948"/>
            <w:tcMar>
              <w:top w:w="90" w:type="dxa"/>
              <w:start w:w="90" w:type="dxa"/>
              <w:bottom w:w="90" w:type="dxa"/>
              <w:end w:w="90" w:type="dxa"/>
            </w:tcMar>
            <w:vAlign w:val="top"/>
          </w:tcPr>
          <w:p>
            <w:pPr>
              <w:spacing w:after="0"/>
            </w:pPr>
            <w:r>
              <w:rPr>
                <w:sz w:val="16"/>
              </w:rPr>
              <w:t>Slack-Mindestbedingungen und Freigabestufen benennen</w:t>
            </w:r>
          </w:p>
        </w:tc>
        <w:tc>
          <w:tcPr>
            <w:tcW w:type="dxa" w:w="1984"/>
            <w:tcMar>
              <w:top w:w="90" w:type="dxa"/>
              <w:start w:w="90" w:type="dxa"/>
              <w:bottom w:w="90" w:type="dxa"/>
              <w:end w:w="90" w:type="dxa"/>
            </w:tcMar>
            <w:vAlign w:val="top"/>
          </w:tcPr>
          <w:p>
            <w:pPr>
              <w:spacing w:after="0"/>
            </w:pPr>
            <w:r>
              <w:rPr>
                <w:sz w:val="16"/>
              </w:rPr>
              <w:t>CISO / Recht</w:t>
            </w:r>
          </w:p>
        </w:tc>
        <w:tc>
          <w:tcPr>
            <w:tcW w:type="dxa" w:w="1984"/>
            <w:tcMar>
              <w:top w:w="90" w:type="dxa"/>
              <w:start w:w="90" w:type="dxa"/>
              <w:bottom w:w="90" w:type="dxa"/>
              <w:end w:w="90" w:type="dxa"/>
            </w:tcMar>
            <w:vAlign w:val="top"/>
          </w:tcPr>
          <w:p>
            <w:pPr>
              <w:spacing w:after="0"/>
            </w:pPr>
            <w:r>
              <w:rPr>
                <w:sz w:val="16"/>
              </w:rPr>
              <w:t>28. Mai 2026</w:t>
            </w:r>
          </w:p>
        </w:tc>
        <w:tc>
          <w:tcPr>
            <w:tcW w:type="dxa" w:w="3061"/>
            <w:tcMar>
              <w:top w:w="90" w:type="dxa"/>
              <w:start w:w="90" w:type="dxa"/>
              <w:bottom w:w="90" w:type="dxa"/>
              <w:end w:w="90" w:type="dxa"/>
            </w:tcMar>
            <w:vAlign w:val="top"/>
          </w:tcPr>
          <w:p>
            <w:pPr>
              <w:spacing w:after="0"/>
            </w:pPr>
            <w:r>
              <w:rPr>
                <w:sz w:val="16"/>
              </w:rPr>
              <w:t>Konfigurationsblatt und Policy-Fassung</w:t>
            </w:r>
          </w:p>
        </w:tc>
      </w:tr>
      <w:tr>
        <w:tc>
          <w:tcPr>
            <w:tcW w:type="dxa" w:w="2948"/>
            <w:tcMar>
              <w:top w:w="90" w:type="dxa"/>
              <w:start w:w="90" w:type="dxa"/>
              <w:bottom w:w="90" w:type="dxa"/>
              <w:end w:w="90" w:type="dxa"/>
            </w:tcMar>
            <w:vAlign w:val="top"/>
            <w:shd w:fill="F5F7F8"/>
          </w:tcPr>
          <w:p>
            <w:pPr>
              <w:spacing w:after="0"/>
            </w:pPr>
            <w:r>
              <w:rPr>
                <w:sz w:val="16"/>
              </w:rPr>
              <w:t>AirTag- und MDM-Einsatz inventarisieren</w:t>
            </w:r>
          </w:p>
        </w:tc>
        <w:tc>
          <w:tcPr>
            <w:tcW w:type="dxa" w:w="1984"/>
            <w:tcMar>
              <w:top w:w="90" w:type="dxa"/>
              <w:start w:w="90" w:type="dxa"/>
              <w:bottom w:w="90" w:type="dxa"/>
              <w:end w:w="90" w:type="dxa"/>
            </w:tcMar>
            <w:vAlign w:val="top"/>
            <w:shd w:fill="F5F7F8"/>
          </w:tcPr>
          <w:p>
            <w:pPr>
              <w:spacing w:after="0"/>
            </w:pPr>
            <w:r>
              <w:rPr>
                <w:sz w:val="16"/>
              </w:rPr>
              <w:t>Logistik / IT / Personal</w:t>
            </w:r>
          </w:p>
        </w:tc>
        <w:tc>
          <w:tcPr>
            <w:tcW w:type="dxa" w:w="1984"/>
            <w:tcMar>
              <w:top w:w="90" w:type="dxa"/>
              <w:start w:w="90" w:type="dxa"/>
              <w:bottom w:w="90" w:type="dxa"/>
              <w:end w:w="90" w:type="dxa"/>
            </w:tcMar>
            <w:vAlign w:val="top"/>
            <w:shd w:fill="F5F7F8"/>
          </w:tcPr>
          <w:p>
            <w:pPr>
              <w:spacing w:after="0"/>
            </w:pPr>
            <w:r>
              <w:rPr>
                <w:sz w:val="16"/>
              </w:rPr>
              <w:t>28. Mai 2026</w:t>
            </w:r>
          </w:p>
        </w:tc>
        <w:tc>
          <w:tcPr>
            <w:tcW w:type="dxa" w:w="3061"/>
            <w:tcMar>
              <w:top w:w="90" w:type="dxa"/>
              <w:start w:w="90" w:type="dxa"/>
              <w:bottom w:w="90" w:type="dxa"/>
              <w:end w:w="90" w:type="dxa"/>
            </w:tcMar>
            <w:vAlign w:val="top"/>
            <w:shd w:fill="F5F7F8"/>
          </w:tcPr>
          <w:p>
            <w:pPr>
              <w:spacing w:after="0"/>
            </w:pPr>
            <w:r>
              <w:rPr>
                <w:sz w:val="16"/>
              </w:rPr>
              <w:t>Geräteliste, Zugriffsrollen und Zweckangaben</w:t>
            </w:r>
          </w:p>
        </w:tc>
      </w:tr>
      <w:tr>
        <w:tc>
          <w:tcPr>
            <w:tcW w:type="dxa" w:w="2948"/>
            <w:tcMar>
              <w:top w:w="90" w:type="dxa"/>
              <w:start w:w="90" w:type="dxa"/>
              <w:bottom w:w="90" w:type="dxa"/>
              <w:end w:w="90" w:type="dxa"/>
            </w:tcMar>
            <w:vAlign w:val="top"/>
          </w:tcPr>
          <w:p>
            <w:pPr>
              <w:spacing w:after="0"/>
            </w:pPr>
            <w:r>
              <w:rPr>
                <w:sz w:val="16"/>
              </w:rPr>
              <w:t>Restore-Nachtest terminieren</w:t>
            </w:r>
          </w:p>
        </w:tc>
        <w:tc>
          <w:tcPr>
            <w:tcW w:type="dxa" w:w="1984"/>
            <w:tcMar>
              <w:top w:w="90" w:type="dxa"/>
              <w:start w:w="90" w:type="dxa"/>
              <w:bottom w:w="90" w:type="dxa"/>
              <w:end w:w="90" w:type="dxa"/>
            </w:tcMar>
            <w:vAlign w:val="top"/>
          </w:tcPr>
          <w:p>
            <w:pPr>
              <w:spacing w:after="0"/>
            </w:pPr>
            <w:r>
              <w:rPr>
                <w:sz w:val="16"/>
              </w:rPr>
              <w:t>IT Operations</w:t>
            </w:r>
          </w:p>
        </w:tc>
        <w:tc>
          <w:tcPr>
            <w:tcW w:type="dxa" w:w="1984"/>
            <w:tcMar>
              <w:top w:w="90" w:type="dxa"/>
              <w:start w:w="90" w:type="dxa"/>
              <w:bottom w:w="90" w:type="dxa"/>
              <w:end w:w="90" w:type="dxa"/>
            </w:tcMar>
            <w:vAlign w:val="top"/>
          </w:tcPr>
          <w:p>
            <w:pPr>
              <w:spacing w:after="0"/>
            </w:pPr>
            <w:r>
              <w:rPr>
                <w:sz w:val="16"/>
              </w:rPr>
              <w:t>29. Mai 2026</w:t>
            </w:r>
          </w:p>
        </w:tc>
        <w:tc>
          <w:tcPr>
            <w:tcW w:type="dxa" w:w="3061"/>
            <w:tcMar>
              <w:top w:w="90" w:type="dxa"/>
              <w:start w:w="90" w:type="dxa"/>
              <w:bottom w:w="90" w:type="dxa"/>
              <w:end w:w="90" w:type="dxa"/>
            </w:tcMar>
            <w:vAlign w:val="top"/>
          </w:tcPr>
          <w:p>
            <w:pPr>
              <w:spacing w:after="0"/>
            </w:pPr>
            <w:r>
              <w:rPr>
                <w:sz w:val="16"/>
              </w:rPr>
              <w:t>Testplan mit Systemen, RPO, RTO und Abnahmekriterium</w:t>
            </w:r>
          </w:p>
        </w:tc>
      </w:tr>
      <w:tr>
        <w:tc>
          <w:tcPr>
            <w:tcW w:type="dxa" w:w="2948"/>
            <w:tcMar>
              <w:top w:w="90" w:type="dxa"/>
              <w:start w:w="90" w:type="dxa"/>
              <w:bottom w:w="90" w:type="dxa"/>
              <w:end w:w="90" w:type="dxa"/>
            </w:tcMar>
            <w:vAlign w:val="top"/>
            <w:shd w:fill="F5F7F8"/>
          </w:tcPr>
          <w:p>
            <w:pPr>
              <w:spacing w:after="0"/>
            </w:pPr>
            <w:r>
              <w:rPr>
                <w:sz w:val="16"/>
              </w:rPr>
              <w:t>Code-Signing-Entscheidung vorbereiten</w:t>
            </w:r>
          </w:p>
        </w:tc>
        <w:tc>
          <w:tcPr>
            <w:tcW w:type="dxa" w:w="1984"/>
            <w:tcMar>
              <w:top w:w="90" w:type="dxa"/>
              <w:start w:w="90" w:type="dxa"/>
              <w:bottom w:w="90" w:type="dxa"/>
              <w:end w:w="90" w:type="dxa"/>
            </w:tcMar>
            <w:vAlign w:val="top"/>
            <w:shd w:fill="F5F7F8"/>
          </w:tcPr>
          <w:p>
            <w:pPr>
              <w:spacing w:after="0"/>
            </w:pPr>
            <w:r>
              <w:rPr>
                <w:sz w:val="16"/>
              </w:rPr>
              <w:t>Engineering / Einkauf</w:t>
            </w:r>
          </w:p>
        </w:tc>
        <w:tc>
          <w:tcPr>
            <w:tcW w:type="dxa" w:w="1984"/>
            <w:tcMar>
              <w:top w:w="90" w:type="dxa"/>
              <w:start w:w="90" w:type="dxa"/>
              <w:bottom w:w="90" w:type="dxa"/>
              <w:end w:w="90" w:type="dxa"/>
            </w:tcMar>
            <w:vAlign w:val="top"/>
            <w:shd w:fill="F5F7F8"/>
          </w:tcPr>
          <w:p>
            <w:pPr>
              <w:spacing w:after="0"/>
            </w:pPr>
            <w:r>
              <w:rPr>
                <w:sz w:val="16"/>
              </w:rPr>
              <w:t>29. Mai 2026</w:t>
            </w:r>
          </w:p>
        </w:tc>
        <w:tc>
          <w:tcPr>
            <w:tcW w:type="dxa" w:w="3061"/>
            <w:tcMar>
              <w:top w:w="90" w:type="dxa"/>
              <w:start w:w="90" w:type="dxa"/>
              <w:bottom w:w="90" w:type="dxa"/>
              <w:end w:w="90" w:type="dxa"/>
            </w:tcMar>
            <w:vAlign w:val="top"/>
            <w:shd w:fill="F5F7F8"/>
          </w:tcPr>
          <w:p>
            <w:pPr>
              <w:spacing w:after="0"/>
            </w:pPr>
            <w:r>
              <w:rPr>
                <w:sz w:val="16"/>
              </w:rPr>
              <w:t>Angebot, Migrationsplan und Schlüsselverantwortung</w:t>
            </w:r>
          </w:p>
        </w:tc>
      </w:tr>
    </w:tbl>
    <w:p>
      <w:pPr>
        <w:spacing w:after="20"/>
      </w:pPr>
    </w:p>
    <w:p>
      <w:pPr>
        <w:pStyle w:val="Heading1"/>
      </w:pPr>
      <w:r>
        <w:t>4. Bearbeitungsvermerk</w:t>
      </w:r>
    </w:p>
    <w:p>
      <w:pPr>
        <w:widowControl/>
      </w:pPr>
      <w:r>
        <w:t>Technische Behauptungen werden nur mit Log, Konfiguration, Ticket oder benanntem Auskunftsträger übernommen. Zertifikate und Testate ersetzen nicht den Nachweis der konkreten Implementierung. Der bisherige Vorgang belegt einen auffälligen Zugriff, aber noch keinen festgestellten Sicherheitsvorfall.</w:t>
      </w:r>
    </w:p>
    <w:p>
      <w:pPr>
        <w:keepLines/>
        <w:spacing w:before="120"/>
      </w:pPr>
      <w:r>
        <w:rPr>
          <w:b/>
        </w:rPr>
        <w:t>Lisa Wenstedt · Rechtsanwältin</w:t>
      </w:r>
    </w:p>
    <w:sectPr w:rsidR="00FC693F" w:rsidRPr="0006063C" w:rsidSect="00034616">
      <w:footerReference w:type="default" r:id="rId9"/>
      <w:pgSz w:w="11906" w:h="16838"/>
      <w:pgMar w:top="1247" w:right="1134" w:bottom="1020"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59636B"/>
        <w:sz w:val="16"/>
      </w:rPr>
      <w:t xml:space="preserve">BRENNECKE · WENSTEDT RECHTSANWÄLTE · BW-318/26-IT · Seite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026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66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732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