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Offene Punkte und Lückenliste — NIS2-Cybersicherheit Lahnwerke</w:t>
      </w:r>
    </w:p>
    <w:p>
      <w:pPr>
        <w:pStyle w:val="Heading2"/>
      </w:pPr>
      <w:r>
        <w:rPr>
          <w:rFonts w:ascii="Times New Roman" w:hAnsi="Times New Roman"/>
        </w:rPr>
        <w:t>Status</w:t>
      </w:r>
    </w:p>
    <w:p>
      <w:pPr>
        <w:jc w:val="left"/>
      </w:pPr>
      <w:r>
        <w:t>Stand: 02.06.2026. Mandant: Lahnwerke AG (Industrieprodukte, Konzerntochter Stahlring AG). Beratung: Dr. Henning Brettschneider (IT-/Cybersecurityrecht), Senior Associate L. Wenstedt.</w:t>
      </w:r>
    </w:p>
    <w:p>
      <w:pPr>
        <w:pStyle w:val="Heading2"/>
      </w:pPr>
      <w:r>
        <w:rPr>
          <w:rFonts w:ascii="Times New Roman" w:hAnsi="Times New Roman"/>
        </w:rPr>
        <w:t>Offene Punkte</w:t>
      </w:r>
    </w:p>
    <w:p>
      <w:pPr>
        <w:pStyle w:val="Heading3"/>
      </w:pPr>
      <w:r>
        <w:t>1. Rechtsquellenprüfung</w:t>
      </w:r>
    </w:p>
    <w:p>
      <w:pPr>
        <w:pStyle w:val="ListBullet"/>
      </w:pPr>
      <w:r>
        <w:t>BSIG in der Fassung des NIS2-Umsetzungsgesetzes 2024/2025; insbesondere die Paragrafen  28-37 BSIG (Risikomanagement, Meldepflicht, Geschäftsleitungspflichten). Live gegen gesetze-im-internet.de verifizieren.</w:t>
      </w:r>
    </w:p>
    <w:p>
      <w:pPr>
        <w:pStyle w:val="ListBullet"/>
      </w:pPr>
      <w:r>
        <w:rPr>
          <w:b/>
        </w:rPr>
        <w:t>NIS2-Richtlinie 2022/2555</w:t>
      </w:r>
      <w:r>
        <w:t>: aktueller Stand der nationalen Umsetzung in den Mitgliedstaaten relevant, weil Lahnwerke auch in Österreich, Polen, Tschechien aktiv ist.</w:t>
      </w:r>
    </w:p>
    <w:p>
      <w:pPr>
        <w:pStyle w:val="ListBullet"/>
      </w:pPr>
      <w:r>
        <w:rPr>
          <w:b/>
        </w:rPr>
        <w:t>DSGVO Art. 32-34</w:t>
      </w:r>
      <w:r>
        <w:t>: technische und organisatorische Maßnahmen, Meldepflichten, Benachrichtigung Betroffener.</w:t>
      </w:r>
    </w:p>
    <w:p>
      <w:pPr>
        <w:pStyle w:val="ListBullet"/>
      </w:pPr>
      <w:r>
        <w:rPr>
          <w:b/>
        </w:rPr>
        <w:t>Cyber Resilience Act (EU 2024/2847)</w:t>
      </w:r>
      <w:r>
        <w:t>: relevant für die Frage, ob Lahnwerke-Produkte unter die Vorgaben fallen — Übergangsfrist beachten.</w:t>
      </w:r>
    </w:p>
    <w:p>
      <w:pPr>
        <w:pStyle w:val="ListBullet"/>
      </w:pPr>
      <w:r>
        <w:rPr>
          <w:b/>
        </w:rPr>
        <w:t>DigitalEU-VO 2018/1807</w:t>
      </w:r>
      <w:r>
        <w:t>: freier Datenverkehr nicht-personenbezogener Daten — relevant für Cloud-Setup-Frage.</w:t>
      </w:r>
    </w:p>
    <w:p>
      <w:pPr>
        <w:pStyle w:val="Heading3"/>
      </w:pPr>
      <w:r>
        <w:rPr>
          <w:rFonts w:ascii="Times New Roman" w:hAnsi="Times New Roman"/>
        </w:rPr>
        <w:t>2. Fehlende technische und kaufmännische Nachweise</w:t>
      </w:r>
    </w:p>
    <w:p>
      <w:pPr>
        <w:pStyle w:val="ListBullet"/>
      </w:pPr>
      <w:r>
        <w:rPr>
          <w:b/>
        </w:rPr>
        <w:t>Vollständiges Asset-Inventar</w:t>
      </w:r>
      <w:r>
        <w:t>: Aktuelles Asset-Inventar liegt mit Stand 03/2025 vor. Müsste auf den Stand 06/2026 aktualisiert werden — insbesondere zu OT-Komponenten (Sensorik, Steuerungen).</w:t>
      </w:r>
    </w:p>
    <w:p>
      <w:pPr>
        <w:pStyle w:val="ListBullet"/>
      </w:pPr>
      <w:r>
        <w:rPr>
          <w:b/>
        </w:rPr>
        <w:t>Lieferketten-Inventar</w:t>
      </w:r>
      <w:r>
        <w:t>: Welche Drittanbieter haben Zugriff auf Lahnwerke-Systeme? Vollständige Liste der SaaS-Anbieter (Slack, M365, Teams-Telefonie, Salesforce, AzureDevOps), Cloud-Provider, externe Wartungsfirmen.</w:t>
      </w:r>
    </w:p>
    <w:p>
      <w:pPr>
        <w:pStyle w:val="ListBullet"/>
      </w:pPr>
      <w:r>
        <w:rPr>
          <w:b/>
        </w:rPr>
        <w:t>Patch-Management-Berichte</w:t>
      </w:r>
      <w:r>
        <w:t xml:space="preserve"> der letzten 12 Monate.</w:t>
      </w:r>
    </w:p>
    <w:p>
      <w:pPr>
        <w:pStyle w:val="ListBullet"/>
      </w:pPr>
      <w:r>
        <w:rPr>
          <w:b/>
        </w:rPr>
        <w:t>Notfallübungs-Protokolle</w:t>
      </w:r>
      <w:r>
        <w:t xml:space="preserve"> der letzten 24 Monate (existieren in welchem Umfang?).</w:t>
      </w:r>
    </w:p>
    <w:p>
      <w:pPr>
        <w:pStyle w:val="ListBullet"/>
      </w:pPr>
      <w:r>
        <w:rPr>
          <w:b/>
        </w:rPr>
        <w:t>Schulungsnachweise</w:t>
      </w:r>
      <w:r>
        <w:t xml:space="preserve"> für Beschäftigte zu Phishing und Cybersecurity.</w:t>
      </w:r>
    </w:p>
    <w:p>
      <w:pPr>
        <w:pStyle w:val="ListBullet"/>
      </w:pPr>
      <w:r>
        <w:rPr>
          <w:b/>
        </w:rPr>
        <w:t>AVV-Verträge mit Drittanbietern</w:t>
      </w:r>
      <w:r>
        <w:t>: vollständig? Aktualität?</w:t>
      </w:r>
    </w:p>
    <w:p>
      <w:pPr>
        <w:pStyle w:val="ListBullet"/>
      </w:pPr>
      <w:r>
        <w:rPr>
          <w:b/>
        </w:rPr>
        <w:t>Verträge mit dem externen Forensiker</w:t>
      </w:r>
      <w:r>
        <w:t xml:space="preserve"> (Bittner+Renz, NorthSec): SLA, Bereitschaftsstufen, Tagessätze.</w:t>
      </w:r>
    </w:p>
    <w:p>
      <w:pPr>
        <w:pStyle w:val="Heading3"/>
      </w:pPr>
      <w:r>
        <w:rPr>
          <w:rFonts w:ascii="Times New Roman" w:hAnsi="Times New Roman"/>
        </w:rPr>
        <w:t>3. Widersprüche und Inkonsistenzen</w:t>
      </w:r>
    </w:p>
    <w:p>
      <w:pPr>
        <w:pStyle w:val="ListBullet"/>
      </w:pPr>
      <w:r>
        <w:rPr>
          <w:b/>
        </w:rPr>
        <w:t>Slack-Nutzung vs. interne Richtlinie</w:t>
      </w:r>
      <w:r>
        <w:t>: Lahnwerke-IT-Richtlinie 2024 verbietet die Nutzung externer Messenger für vertrauliche Kommunikation. Tatsächlich nutzen Engineering und Vertrieb Slack intensiv. Diskrepanz zwischen Richtlinie und Praxis dokumentieren.</w:t>
      </w:r>
    </w:p>
    <w:p>
      <w:pPr>
        <w:pStyle w:val="ListBullet"/>
      </w:pPr>
      <w:r>
        <w:rPr>
          <w:b/>
        </w:rPr>
        <w:t>AirTag-Verwendung an Werkstücken</w:t>
      </w:r>
      <w:r>
        <w:t>: Aktenstück 14 dokumentiert, dass Lahnwerke AirTags zur Verfolgung von Werkstücken (Lieferung an Kunden) verwendet. Datenschutzrechtliche Bewertung (Datenfluss an Apple, personenbeziehbarer Standort) ist nicht dokumentiert.</w:t>
      </w:r>
    </w:p>
    <w:p>
      <w:pPr>
        <w:pStyle w:val="ListBullet"/>
      </w:pPr>
      <w:r>
        <w:rPr>
          <w:b/>
        </w:rPr>
        <w:t>MFA-Coverage</w:t>
      </w:r>
      <w:r>
        <w:t>: Behauptung im internen Report 04/2026: "MFA bei 95 % aller Accounts aktiv". Tatsächlich: nur 70 %, weil mehrere Service-Accounts und Wartungs-Accounts ausgenommen. Lücke schließen.</w:t>
      </w:r>
    </w:p>
    <w:p>
      <w:pPr>
        <w:pStyle w:val="Heading3"/>
      </w:pPr>
      <w:r>
        <w:rPr>
          <w:rFonts w:ascii="Times New Roman" w:hAnsi="Times New Roman"/>
        </w:rPr>
        <w:t>4. Beweisfundstellen für harte Aussagen</w:t>
      </w:r>
    </w:p>
    <w:p>
      <w:pPr>
        <w:pStyle w:val="ListBullet"/>
      </w:pPr>
      <w:r>
        <w:t>Behauptung "Lahnwerke ist NIS2-pflichtig": derzeit nur Vermutung über Größenklassifizierung. Bessere Belege: Jahresabschluss Beschäftigtenzahl, Konzernzuordnung, Sektorzuordnung nach Anhang I/II der Richtlinie.</w:t>
      </w:r>
    </w:p>
    <w:p>
      <w:pPr>
        <w:pStyle w:val="ListBullet"/>
      </w:pPr>
      <w:r>
        <w:t>Behauptung "kein wesentlicher Vorfall seit 2023": derzeit auf interne Vorfalls-Logs gestützt; vollständige Aufstellung mit Klassifikation nach NIS2-Wesentlichkeitskriterien anfertigen.</w:t>
      </w:r>
    </w:p>
    <w:p>
      <w:pPr>
        <w:pStyle w:val="ListBullet"/>
      </w:pPr>
      <w:r>
        <w:t>Behauptung "Geschäftsleitung ist über Cybersecurity-Lage informiert": derzeit nur indirekt aus Aufsichtsratsprotokollen. Bessere Belege: konkrete Sitzungsprotokolle Geschäftsleitung mit ausdrücklicher Cybersecurity-Berichterstattung.</w:t>
      </w:r>
    </w:p>
    <w:p>
      <w:pPr>
        <w:pStyle w:val="Heading2"/>
      </w:pPr>
      <w:r>
        <w:rPr>
          <w:rFonts w:ascii="Times New Roman" w:hAnsi="Times New Roman"/>
        </w:rPr>
        <w:t>Lückenliste (Dokumente)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Lücke</w:t>
            </w:r>
          </w:p>
        </w:tc>
        <w:tc>
          <w:tcPr>
            <w:tcW w:type="dxa" w:w="1512"/>
          </w:tcPr>
          <w:p>
            <w:r>
              <w:rPr>
                <w:rFonts w:ascii="Times New Roman" w:hAnsi="Times New Roman"/>
                <w:b/>
                <w:sz w:val="20"/>
              </w:rPr>
              <w:t>Beweisthema</w:t>
            </w:r>
          </w:p>
        </w:tc>
        <w:tc>
          <w:tcPr>
            <w:tcW w:type="dxa" w:w="1512"/>
          </w:tcPr>
          <w:p>
            <w:r>
              <w:rPr>
                <w:rFonts w:ascii="Times New Roman" w:hAnsi="Times New Roman"/>
                <w:b/>
                <w:sz w:val="20"/>
              </w:rPr>
              <w:t>Beschaffungsweg</w:t>
            </w:r>
          </w:p>
        </w:tc>
        <w:tc>
          <w:tcPr>
            <w:tcW w:type="dxa" w:w="1512"/>
          </w:tcPr>
          <w:p>
            <w:r>
              <w:rPr>
                <w:rFonts w:ascii="Times New Roman" w:hAnsi="Times New Roman"/>
                <w:b/>
                <w:sz w:val="20"/>
              </w:rPr>
              <w:t>Frist</w:t>
            </w:r>
          </w:p>
        </w:tc>
        <w:tc>
          <w:tcPr>
            <w:tcW w:type="dxa" w:w="1512"/>
          </w:tcPr>
          <w:p>
            <w:r>
              <w:rPr>
                <w:rFonts w:ascii="Times New Roman" w:hAnsi="Times New Roman"/>
                <w:b/>
                <w:sz w:val="20"/>
              </w:rPr>
              <w:t>Verantwortlich</w:t>
            </w:r>
          </w:p>
        </w:tc>
        <w:tc>
          <w:tcPr>
            <w:tcW w:type="dxa" w:w="1512"/>
          </w:tcPr>
          <w:p>
            <w:r>
              <w:rPr>
                <w:rFonts w:ascii="Times New Roman" w:hAnsi="Times New Roman"/>
                <w:b/>
                <w:sz w:val="20"/>
              </w:rPr>
              <w:t>Status</w:t>
            </w:r>
          </w:p>
        </w:tc>
      </w:tr>
      <w:tr>
        <w:tc>
          <w:tcPr>
            <w:tcW w:type="dxa" w:w="1512"/>
          </w:tcPr>
          <w:p>
            <w:r>
              <w:rPr>
                <w:rFonts w:ascii="Times New Roman" w:hAnsi="Times New Roman"/>
                <w:sz w:val="20"/>
              </w:rPr>
              <w:t>Aktualisiertes Asset-Inventar</w:t>
            </w:r>
          </w:p>
        </w:tc>
        <w:tc>
          <w:tcPr>
            <w:tcW w:type="dxa" w:w="1512"/>
          </w:tcPr>
          <w:p>
            <w:r>
              <w:t>NIS2 Paragraf  30 BSIG</w:t>
            </w:r>
          </w:p>
        </w:tc>
        <w:tc>
          <w:tcPr>
            <w:tcW w:type="dxa" w:w="1512"/>
          </w:tcPr>
          <w:p>
            <w:r>
              <w:rPr>
                <w:rFonts w:ascii="Times New Roman" w:hAnsi="Times New Roman"/>
                <w:sz w:val="20"/>
              </w:rPr>
              <w:t>intern IT</w:t>
            </w:r>
          </w:p>
        </w:tc>
        <w:tc>
          <w:tcPr>
            <w:tcW w:type="dxa" w:w="1512"/>
          </w:tcPr>
          <w:p>
            <w:r>
              <w:rPr>
                <w:rFonts w:ascii="Times New Roman" w:hAnsi="Times New Roman"/>
                <w:sz w:val="20"/>
              </w:rPr>
              <w:t>4 Wochen</w:t>
            </w:r>
          </w:p>
        </w:tc>
        <w:tc>
          <w:tcPr>
            <w:tcW w:type="dxa" w:w="1512"/>
          </w:tcPr>
          <w:p>
            <w:r>
              <w:rPr>
                <w:rFonts w:ascii="Times New Roman" w:hAnsi="Times New Roman"/>
                <w:sz w:val="20"/>
              </w:rPr>
              <w:t>CISO</w:t>
            </w:r>
          </w:p>
        </w:tc>
        <w:tc>
          <w:tcPr>
            <w:tcW w:type="dxa" w:w="1512"/>
          </w:tcPr>
          <w:p>
            <w:r>
              <w:rPr>
                <w:rFonts w:ascii="Times New Roman" w:hAnsi="Times New Roman"/>
                <w:sz w:val="20"/>
              </w:rPr>
              <w:t>offen</w:t>
            </w:r>
          </w:p>
        </w:tc>
      </w:tr>
      <w:tr>
        <w:tc>
          <w:tcPr>
            <w:tcW w:type="dxa" w:w="1512"/>
          </w:tcPr>
          <w:p>
            <w:r>
              <w:rPr>
                <w:rFonts w:ascii="Times New Roman" w:hAnsi="Times New Roman"/>
                <w:sz w:val="20"/>
              </w:rPr>
              <w:t>Lieferketten-Inventar</w:t>
            </w:r>
          </w:p>
        </w:tc>
        <w:tc>
          <w:tcPr>
            <w:tcW w:type="dxa" w:w="1512"/>
          </w:tcPr>
          <w:p>
            <w:r>
              <w:t>NIS2 Paragraf  30 BSIG</w:t>
            </w:r>
          </w:p>
        </w:tc>
        <w:tc>
          <w:tcPr>
            <w:tcW w:type="dxa" w:w="1512"/>
          </w:tcPr>
          <w:p>
            <w:r>
              <w:rPr>
                <w:rFonts w:ascii="Times New Roman" w:hAnsi="Times New Roman"/>
                <w:sz w:val="20"/>
              </w:rPr>
              <w:t>intern Einkauf + IT</w:t>
            </w:r>
          </w:p>
        </w:tc>
        <w:tc>
          <w:tcPr>
            <w:tcW w:type="dxa" w:w="1512"/>
          </w:tcPr>
          <w:p>
            <w:r>
              <w:rPr>
                <w:rFonts w:ascii="Times New Roman" w:hAnsi="Times New Roman"/>
                <w:sz w:val="20"/>
              </w:rPr>
              <w:t>3 Wochen</w:t>
            </w:r>
          </w:p>
        </w:tc>
        <w:tc>
          <w:tcPr>
            <w:tcW w:type="dxa" w:w="1512"/>
          </w:tcPr>
          <w:p>
            <w:r>
              <w:rPr>
                <w:rFonts w:ascii="Times New Roman" w:hAnsi="Times New Roman"/>
                <w:sz w:val="20"/>
              </w:rPr>
              <w:t>Einkauf</w:t>
            </w:r>
          </w:p>
        </w:tc>
        <w:tc>
          <w:tcPr>
            <w:tcW w:type="dxa" w:w="1512"/>
          </w:tcPr>
          <w:p>
            <w:r>
              <w:rPr>
                <w:rFonts w:ascii="Times New Roman" w:hAnsi="Times New Roman"/>
                <w:sz w:val="20"/>
              </w:rPr>
              <w:t>offen</w:t>
            </w:r>
          </w:p>
        </w:tc>
      </w:tr>
      <w:tr>
        <w:tc>
          <w:tcPr>
            <w:tcW w:type="dxa" w:w="1512"/>
          </w:tcPr>
          <w:p>
            <w:r>
              <w:rPr>
                <w:rFonts w:ascii="Times New Roman" w:hAnsi="Times New Roman"/>
                <w:sz w:val="20"/>
              </w:rPr>
              <w:t>Patch-Management-Berichte 06/2025-06/2026</w:t>
            </w:r>
          </w:p>
        </w:tc>
        <w:tc>
          <w:tcPr>
            <w:tcW w:type="dxa" w:w="1512"/>
          </w:tcPr>
          <w:p>
            <w:r>
              <w:rPr>
                <w:rFonts w:ascii="Times New Roman" w:hAnsi="Times New Roman"/>
                <w:sz w:val="20"/>
              </w:rPr>
              <w:t>Sorgfalt</w:t>
            </w:r>
          </w:p>
        </w:tc>
        <w:tc>
          <w:tcPr>
            <w:tcW w:type="dxa" w:w="1512"/>
          </w:tcPr>
          <w:p>
            <w:r>
              <w:rPr>
                <w:rFonts w:ascii="Times New Roman" w:hAnsi="Times New Roman"/>
                <w:sz w:val="20"/>
              </w:rPr>
              <w:t>intern IT</w:t>
            </w:r>
          </w:p>
        </w:tc>
        <w:tc>
          <w:tcPr>
            <w:tcW w:type="dxa" w:w="1512"/>
          </w:tcPr>
          <w:p>
            <w:r>
              <w:rPr>
                <w:rFonts w:ascii="Times New Roman" w:hAnsi="Times New Roman"/>
                <w:sz w:val="20"/>
              </w:rPr>
              <w:t>1 Woche</w:t>
            </w:r>
          </w:p>
        </w:tc>
        <w:tc>
          <w:tcPr>
            <w:tcW w:type="dxa" w:w="1512"/>
          </w:tcPr>
          <w:p>
            <w:r>
              <w:rPr>
                <w:rFonts w:ascii="Times New Roman" w:hAnsi="Times New Roman"/>
                <w:sz w:val="20"/>
              </w:rPr>
              <w:t>IT-Operations</w:t>
            </w:r>
          </w:p>
        </w:tc>
        <w:tc>
          <w:tcPr>
            <w:tcW w:type="dxa" w:w="1512"/>
          </w:tcPr>
          <w:p>
            <w:r>
              <w:rPr>
                <w:rFonts w:ascii="Times New Roman" w:hAnsi="Times New Roman"/>
                <w:sz w:val="20"/>
              </w:rPr>
              <w:t>beauftragt</w:t>
            </w:r>
          </w:p>
        </w:tc>
      </w:tr>
      <w:tr>
        <w:tc>
          <w:tcPr>
            <w:tcW w:type="dxa" w:w="1512"/>
          </w:tcPr>
          <w:p>
            <w:r>
              <w:rPr>
                <w:rFonts w:ascii="Times New Roman" w:hAnsi="Times New Roman"/>
                <w:sz w:val="20"/>
              </w:rPr>
              <w:t>Notfallübungs-Protokolle</w:t>
            </w:r>
          </w:p>
        </w:tc>
        <w:tc>
          <w:tcPr>
            <w:tcW w:type="dxa" w:w="1512"/>
          </w:tcPr>
          <w:p>
            <w:r>
              <w:rPr>
                <w:rFonts w:ascii="Times New Roman" w:hAnsi="Times New Roman"/>
                <w:sz w:val="20"/>
              </w:rPr>
              <w:t>NIS2 Risikomanagement</w:t>
            </w:r>
          </w:p>
        </w:tc>
        <w:tc>
          <w:tcPr>
            <w:tcW w:type="dxa" w:w="1512"/>
          </w:tcPr>
          <w:p>
            <w:r>
              <w:rPr>
                <w:rFonts w:ascii="Times New Roman" w:hAnsi="Times New Roman"/>
                <w:sz w:val="20"/>
              </w:rPr>
              <w:t>intern CISO</w:t>
            </w:r>
          </w:p>
        </w:tc>
        <w:tc>
          <w:tcPr>
            <w:tcW w:type="dxa" w:w="1512"/>
          </w:tcPr>
          <w:p>
            <w:r>
              <w:rPr>
                <w:rFonts w:ascii="Times New Roman" w:hAnsi="Times New Roman"/>
                <w:sz w:val="20"/>
              </w:rPr>
              <w:t>2 Wochen</w:t>
            </w:r>
          </w:p>
        </w:tc>
        <w:tc>
          <w:tcPr>
            <w:tcW w:type="dxa" w:w="1512"/>
          </w:tcPr>
          <w:p>
            <w:r>
              <w:rPr>
                <w:rFonts w:ascii="Times New Roman" w:hAnsi="Times New Roman"/>
                <w:sz w:val="20"/>
              </w:rPr>
              <w:t>CISO</w:t>
            </w:r>
          </w:p>
        </w:tc>
        <w:tc>
          <w:tcPr>
            <w:tcW w:type="dxa" w:w="1512"/>
          </w:tcPr>
          <w:p>
            <w:r>
              <w:rPr>
                <w:rFonts w:ascii="Times New Roman" w:hAnsi="Times New Roman"/>
                <w:sz w:val="20"/>
              </w:rPr>
              <w:t>offen</w:t>
            </w:r>
          </w:p>
        </w:tc>
      </w:tr>
      <w:tr>
        <w:tc>
          <w:tcPr>
            <w:tcW w:type="dxa" w:w="1512"/>
          </w:tcPr>
          <w:p>
            <w:r>
              <w:rPr>
                <w:rFonts w:ascii="Times New Roman" w:hAnsi="Times New Roman"/>
                <w:sz w:val="20"/>
              </w:rPr>
              <w:t>Schulungsnachweise Cybersecurity</w:t>
            </w:r>
          </w:p>
        </w:tc>
        <w:tc>
          <w:tcPr>
            <w:tcW w:type="dxa" w:w="1512"/>
          </w:tcPr>
          <w:p>
            <w:r>
              <w:rPr>
                <w:rFonts w:ascii="Times New Roman" w:hAnsi="Times New Roman"/>
                <w:sz w:val="20"/>
              </w:rPr>
              <w:t>NIS2 Schulungspflicht</w:t>
            </w:r>
          </w:p>
        </w:tc>
        <w:tc>
          <w:tcPr>
            <w:tcW w:type="dxa" w:w="1512"/>
          </w:tcPr>
          <w:p>
            <w:r>
              <w:rPr>
                <w:rFonts w:ascii="Times New Roman" w:hAnsi="Times New Roman"/>
                <w:sz w:val="20"/>
              </w:rPr>
              <w:t>HR</w:t>
            </w:r>
          </w:p>
        </w:tc>
        <w:tc>
          <w:tcPr>
            <w:tcW w:type="dxa" w:w="1512"/>
          </w:tcPr>
          <w:p>
            <w:r>
              <w:rPr>
                <w:rFonts w:ascii="Times New Roman" w:hAnsi="Times New Roman"/>
                <w:sz w:val="20"/>
              </w:rPr>
              <w:t>1 Woche</w:t>
            </w:r>
          </w:p>
        </w:tc>
        <w:tc>
          <w:tcPr>
            <w:tcW w:type="dxa" w:w="1512"/>
          </w:tcPr>
          <w:p>
            <w:r>
              <w:rPr>
                <w:rFonts w:ascii="Times New Roman" w:hAnsi="Times New Roman"/>
                <w:sz w:val="20"/>
              </w:rPr>
              <w:t>HR</w:t>
            </w:r>
          </w:p>
        </w:tc>
        <w:tc>
          <w:tcPr>
            <w:tcW w:type="dxa" w:w="1512"/>
          </w:tcPr>
          <w:p>
            <w:r>
              <w:rPr>
                <w:rFonts w:ascii="Times New Roman" w:hAnsi="Times New Roman"/>
                <w:sz w:val="20"/>
              </w:rPr>
              <w:t>beauftragt</w:t>
            </w:r>
          </w:p>
        </w:tc>
      </w:tr>
      <w:tr>
        <w:tc>
          <w:tcPr>
            <w:tcW w:type="dxa" w:w="1512"/>
          </w:tcPr>
          <w:p>
            <w:r>
              <w:rPr>
                <w:rFonts w:ascii="Times New Roman" w:hAnsi="Times New Roman"/>
                <w:sz w:val="20"/>
              </w:rPr>
              <w:t>AVV-Verträge alle SaaS-Anbieter</w:t>
            </w:r>
          </w:p>
        </w:tc>
        <w:tc>
          <w:tcPr>
            <w:tcW w:type="dxa" w:w="1512"/>
          </w:tcPr>
          <w:p>
            <w:r>
              <w:rPr>
                <w:rFonts w:ascii="Times New Roman" w:hAnsi="Times New Roman"/>
                <w:sz w:val="20"/>
              </w:rPr>
              <w:t>DSGVO Art. 28</w:t>
            </w:r>
          </w:p>
        </w:tc>
        <w:tc>
          <w:tcPr>
            <w:tcW w:type="dxa" w:w="1512"/>
          </w:tcPr>
          <w:p>
            <w:r>
              <w:rPr>
                <w:rFonts w:ascii="Times New Roman" w:hAnsi="Times New Roman"/>
                <w:sz w:val="20"/>
              </w:rPr>
              <w:t>Justiziariat</w:t>
            </w:r>
          </w:p>
        </w:tc>
        <w:tc>
          <w:tcPr>
            <w:tcW w:type="dxa" w:w="1512"/>
          </w:tcPr>
          <w:p>
            <w:r>
              <w:rPr>
                <w:rFonts w:ascii="Times New Roman" w:hAnsi="Times New Roman"/>
                <w:sz w:val="20"/>
              </w:rPr>
              <w:t>2 Wochen</w:t>
            </w:r>
          </w:p>
        </w:tc>
        <w:tc>
          <w:tcPr>
            <w:tcW w:type="dxa" w:w="1512"/>
          </w:tcPr>
          <w:p>
            <w:r>
              <w:rPr>
                <w:rFonts w:ascii="Times New Roman" w:hAnsi="Times New Roman"/>
                <w:sz w:val="20"/>
              </w:rPr>
              <w:t>Justiziariat</w:t>
            </w:r>
          </w:p>
        </w:tc>
        <w:tc>
          <w:tcPr>
            <w:tcW w:type="dxa" w:w="1512"/>
          </w:tcPr>
          <w:p>
            <w:r>
              <w:rPr>
                <w:rFonts w:ascii="Times New Roman" w:hAnsi="Times New Roman"/>
                <w:sz w:val="20"/>
              </w:rPr>
              <w:t>initialisiert</w:t>
            </w:r>
          </w:p>
        </w:tc>
      </w:tr>
      <w:tr>
        <w:tc>
          <w:tcPr>
            <w:tcW w:type="dxa" w:w="1512"/>
          </w:tcPr>
          <w:p>
            <w:r>
              <w:rPr>
                <w:rFonts w:ascii="Times New Roman" w:hAnsi="Times New Roman"/>
                <w:sz w:val="20"/>
              </w:rPr>
              <w:t>Forensiker-SLA</w:t>
            </w:r>
          </w:p>
        </w:tc>
        <w:tc>
          <w:tcPr>
            <w:tcW w:type="dxa" w:w="1512"/>
          </w:tcPr>
          <w:p>
            <w:r>
              <w:rPr>
                <w:rFonts w:ascii="Times New Roman" w:hAnsi="Times New Roman"/>
                <w:sz w:val="20"/>
              </w:rPr>
              <w:t>Bereitschaft Vorfall</w:t>
            </w:r>
          </w:p>
        </w:tc>
        <w:tc>
          <w:tcPr>
            <w:tcW w:type="dxa" w:w="1512"/>
          </w:tcPr>
          <w:p>
            <w:r>
              <w:rPr>
                <w:rFonts w:ascii="Times New Roman" w:hAnsi="Times New Roman"/>
                <w:sz w:val="20"/>
              </w:rPr>
              <w:t>Justiziariat</w:t>
            </w:r>
          </w:p>
        </w:tc>
        <w:tc>
          <w:tcPr>
            <w:tcW w:type="dxa" w:w="1512"/>
          </w:tcPr>
          <w:p>
            <w:r>
              <w:rPr>
                <w:rFonts w:ascii="Times New Roman" w:hAnsi="Times New Roman"/>
                <w:sz w:val="20"/>
              </w:rPr>
              <w:t>1 Woche</w:t>
            </w:r>
          </w:p>
        </w:tc>
        <w:tc>
          <w:tcPr>
            <w:tcW w:type="dxa" w:w="1512"/>
          </w:tcPr>
          <w:p>
            <w:r>
              <w:rPr>
                <w:rFonts w:ascii="Times New Roman" w:hAnsi="Times New Roman"/>
                <w:sz w:val="20"/>
              </w:rPr>
              <w:t>Justiziariat</w:t>
            </w:r>
          </w:p>
        </w:tc>
        <w:tc>
          <w:tcPr>
            <w:tcW w:type="dxa" w:w="1512"/>
          </w:tcPr>
          <w:p>
            <w:r>
              <w:rPr>
                <w:rFonts w:ascii="Times New Roman" w:hAnsi="Times New Roman"/>
                <w:sz w:val="20"/>
              </w:rPr>
              <w:t>gemacht</w:t>
            </w:r>
          </w:p>
        </w:tc>
      </w:tr>
      <w:tr>
        <w:tc>
          <w:tcPr>
            <w:tcW w:type="dxa" w:w="1512"/>
          </w:tcPr>
          <w:p>
            <w:r>
              <w:rPr>
                <w:rFonts w:ascii="Times New Roman" w:hAnsi="Times New Roman"/>
                <w:sz w:val="20"/>
              </w:rPr>
              <w:t>Cloud-HSM-Beschaffung Code-Signing</w:t>
            </w:r>
          </w:p>
        </w:tc>
        <w:tc>
          <w:tcPr>
            <w:tcW w:type="dxa" w:w="1512"/>
          </w:tcPr>
          <w:p>
            <w:r>
              <w:rPr>
                <w:rFonts w:ascii="Times New Roman" w:hAnsi="Times New Roman"/>
                <w:sz w:val="20"/>
              </w:rPr>
              <w:t>siehe Aktenstück 18</w:t>
            </w:r>
          </w:p>
        </w:tc>
        <w:tc>
          <w:tcPr>
            <w:tcW w:type="dxa" w:w="1512"/>
          </w:tcPr>
          <w:p>
            <w:r>
              <w:rPr>
                <w:rFonts w:ascii="Times New Roman" w:hAnsi="Times New Roman"/>
                <w:sz w:val="20"/>
              </w:rPr>
              <w:t>IT-Operations</w:t>
            </w:r>
          </w:p>
        </w:tc>
        <w:tc>
          <w:tcPr>
            <w:tcW w:type="dxa" w:w="1512"/>
          </w:tcPr>
          <w:p>
            <w:r>
              <w:rPr>
                <w:rFonts w:ascii="Times New Roman" w:hAnsi="Times New Roman"/>
                <w:sz w:val="20"/>
              </w:rPr>
              <w:t>5 Werktage</w:t>
            </w:r>
          </w:p>
        </w:tc>
        <w:tc>
          <w:tcPr>
            <w:tcW w:type="dxa" w:w="1512"/>
          </w:tcPr>
          <w:p>
            <w:r>
              <w:rPr>
                <w:rFonts w:ascii="Times New Roman" w:hAnsi="Times New Roman"/>
                <w:sz w:val="20"/>
              </w:rPr>
              <w:t>CISO</w:t>
            </w:r>
          </w:p>
        </w:tc>
        <w:tc>
          <w:tcPr>
            <w:tcW w:type="dxa" w:w="1512"/>
          </w:tcPr>
          <w:p>
            <w:r>
              <w:rPr>
                <w:rFonts w:ascii="Times New Roman" w:hAnsi="Times New Roman"/>
                <w:sz w:val="20"/>
              </w:rPr>
              <w:t>beauftragt</w:t>
            </w:r>
          </w:p>
        </w:tc>
      </w:tr>
      <w:tr>
        <w:tc>
          <w:tcPr>
            <w:tcW w:type="dxa" w:w="1512"/>
          </w:tcPr>
          <w:p>
            <w:r>
              <w:rPr>
                <w:rFonts w:ascii="Times New Roman" w:hAnsi="Times New Roman"/>
                <w:sz w:val="20"/>
              </w:rPr>
              <w:t>Datenschutzbewertung AirTag-Nutzung</w:t>
            </w:r>
          </w:p>
        </w:tc>
        <w:tc>
          <w:tcPr>
            <w:tcW w:type="dxa" w:w="1512"/>
          </w:tcPr>
          <w:p>
            <w:r>
              <w:t>DSGVO + Paragraf  4f BDSG</w:t>
            </w:r>
          </w:p>
        </w:tc>
        <w:tc>
          <w:tcPr>
            <w:tcW w:type="dxa" w:w="1512"/>
          </w:tcPr>
          <w:p>
            <w:r>
              <w:rPr>
                <w:rFonts w:ascii="Times New Roman" w:hAnsi="Times New Roman"/>
                <w:sz w:val="20"/>
              </w:rPr>
              <w:t>DSB</w:t>
            </w:r>
          </w:p>
        </w:tc>
        <w:tc>
          <w:tcPr>
            <w:tcW w:type="dxa" w:w="1512"/>
          </w:tcPr>
          <w:p>
            <w:r>
              <w:rPr>
                <w:rFonts w:ascii="Times New Roman" w:hAnsi="Times New Roman"/>
                <w:sz w:val="20"/>
              </w:rPr>
              <w:t>2 Wochen</w:t>
            </w:r>
          </w:p>
        </w:tc>
        <w:tc>
          <w:tcPr>
            <w:tcW w:type="dxa" w:w="1512"/>
          </w:tcPr>
          <w:p>
            <w:r>
              <w:rPr>
                <w:rFonts w:ascii="Times New Roman" w:hAnsi="Times New Roman"/>
                <w:sz w:val="20"/>
              </w:rPr>
              <w:t>DSB</w:t>
            </w:r>
          </w:p>
        </w:tc>
        <w:tc>
          <w:tcPr>
            <w:tcW w:type="dxa" w:w="1512"/>
          </w:tcPr>
          <w:p>
            <w:r>
              <w:rPr>
                <w:rFonts w:ascii="Times New Roman" w:hAnsi="Times New Roman"/>
                <w:sz w:val="20"/>
              </w:rPr>
              <w:t>initialisiert</w:t>
            </w:r>
          </w:p>
        </w:tc>
      </w:tr>
      <w:tr>
        <w:tc>
          <w:tcPr>
            <w:tcW w:type="dxa" w:w="1512"/>
          </w:tcPr>
          <w:p>
            <w:r>
              <w:rPr>
                <w:rFonts w:ascii="Times New Roman" w:hAnsi="Times New Roman"/>
                <w:sz w:val="20"/>
              </w:rPr>
              <w:t>Slack-Nutzungsbewertung</w:t>
            </w:r>
          </w:p>
        </w:tc>
        <w:tc>
          <w:tcPr>
            <w:tcW w:type="dxa" w:w="1512"/>
          </w:tcPr>
          <w:p>
            <w:r>
              <w:rPr>
                <w:rFonts w:ascii="Times New Roman" w:hAnsi="Times New Roman"/>
                <w:sz w:val="20"/>
              </w:rPr>
              <w:t>Geschäftsgeheimnisse + DSGVO</w:t>
            </w:r>
          </w:p>
        </w:tc>
        <w:tc>
          <w:tcPr>
            <w:tcW w:type="dxa" w:w="1512"/>
          </w:tcPr>
          <w:p>
            <w:r>
              <w:rPr>
                <w:rFonts w:ascii="Times New Roman" w:hAnsi="Times New Roman"/>
                <w:sz w:val="20"/>
              </w:rPr>
              <w:t>DSB + Justiziariat</w:t>
            </w:r>
          </w:p>
        </w:tc>
        <w:tc>
          <w:tcPr>
            <w:tcW w:type="dxa" w:w="1512"/>
          </w:tcPr>
          <w:p>
            <w:r>
              <w:rPr>
                <w:rFonts w:ascii="Times New Roman" w:hAnsi="Times New Roman"/>
                <w:sz w:val="20"/>
              </w:rPr>
              <w:t>2 Wochen</w:t>
            </w:r>
          </w:p>
        </w:tc>
        <w:tc>
          <w:tcPr>
            <w:tcW w:type="dxa" w:w="1512"/>
          </w:tcPr>
          <w:p>
            <w:r>
              <w:rPr>
                <w:rFonts w:ascii="Times New Roman" w:hAnsi="Times New Roman"/>
                <w:sz w:val="20"/>
              </w:rPr>
              <w:t>DSB</w:t>
            </w:r>
          </w:p>
        </w:tc>
        <w:tc>
          <w:tcPr>
            <w:tcW w:type="dxa" w:w="1512"/>
          </w:tcPr>
          <w:p>
            <w:r>
              <w:rPr>
                <w:rFonts w:ascii="Times New Roman" w:hAnsi="Times New Roman"/>
                <w:sz w:val="20"/>
              </w:rPr>
              <w:t>initialisiert</w:t>
            </w:r>
          </w:p>
        </w:tc>
      </w:tr>
      <w:tr>
        <w:tc>
          <w:tcPr>
            <w:tcW w:type="dxa" w:w="1512"/>
          </w:tcPr>
          <w:p>
            <w:r>
              <w:rPr>
                <w:rFonts w:ascii="Times New Roman" w:hAnsi="Times New Roman"/>
                <w:sz w:val="20"/>
              </w:rPr>
              <w:t>Notfalltelefonliste offline</w:t>
            </w:r>
          </w:p>
        </w:tc>
        <w:tc>
          <w:tcPr>
            <w:tcW w:type="dxa" w:w="1512"/>
          </w:tcPr>
          <w:p>
            <w:r>
              <w:rPr>
                <w:rFonts w:ascii="Times New Roman" w:hAnsi="Times New Roman"/>
                <w:sz w:val="20"/>
              </w:rPr>
              <w:t>siehe Aktenstück 16</w:t>
            </w:r>
          </w:p>
        </w:tc>
        <w:tc>
          <w:tcPr>
            <w:tcW w:type="dxa" w:w="1512"/>
          </w:tcPr>
          <w:p>
            <w:r>
              <w:rPr>
                <w:rFonts w:ascii="Times New Roman" w:hAnsi="Times New Roman"/>
                <w:sz w:val="20"/>
              </w:rPr>
              <w:t>Sekretariat</w:t>
            </w:r>
          </w:p>
        </w:tc>
        <w:tc>
          <w:tcPr>
            <w:tcW w:type="dxa" w:w="1512"/>
          </w:tcPr>
          <w:p>
            <w:r>
              <w:rPr>
                <w:rFonts w:ascii="Times New Roman" w:hAnsi="Times New Roman"/>
                <w:sz w:val="20"/>
              </w:rPr>
              <w:t>5 Werktage</w:t>
            </w:r>
          </w:p>
        </w:tc>
        <w:tc>
          <w:tcPr>
            <w:tcW w:type="dxa" w:w="1512"/>
          </w:tcPr>
          <w:p>
            <w:r>
              <w:rPr>
                <w:rFonts w:ascii="Times New Roman" w:hAnsi="Times New Roman"/>
                <w:sz w:val="20"/>
              </w:rPr>
              <w:t>Sekretariat</w:t>
            </w:r>
          </w:p>
        </w:tc>
        <w:tc>
          <w:tcPr>
            <w:tcW w:type="dxa" w:w="1512"/>
          </w:tcPr>
          <w:p>
            <w:r>
              <w:rPr>
                <w:rFonts w:ascii="Times New Roman" w:hAnsi="Times New Roman"/>
                <w:sz w:val="20"/>
              </w:rPr>
              <w:t>beauftragt</w:t>
            </w:r>
          </w:p>
        </w:tc>
      </w:tr>
      <w:tr>
        <w:tc>
          <w:tcPr>
            <w:tcW w:type="dxa" w:w="1512"/>
          </w:tcPr>
          <w:p>
            <w:r>
              <w:rPr>
                <w:rFonts w:ascii="Times New Roman" w:hAnsi="Times New Roman"/>
                <w:sz w:val="20"/>
              </w:rPr>
              <w:t>MFA-Coverage 100 %</w:t>
            </w:r>
          </w:p>
        </w:tc>
        <w:tc>
          <w:tcPr>
            <w:tcW w:type="dxa" w:w="1512"/>
          </w:tcPr>
          <w:p>
            <w:r>
              <w:t>Sorgfalt Paragraf  30 BSIG</w:t>
            </w:r>
          </w:p>
        </w:tc>
        <w:tc>
          <w:tcPr>
            <w:tcW w:type="dxa" w:w="1512"/>
          </w:tcPr>
          <w:p>
            <w:r>
              <w:rPr>
                <w:rFonts w:ascii="Times New Roman" w:hAnsi="Times New Roman"/>
                <w:sz w:val="20"/>
              </w:rPr>
              <w:t>IT-Operations</w:t>
            </w:r>
          </w:p>
        </w:tc>
        <w:tc>
          <w:tcPr>
            <w:tcW w:type="dxa" w:w="1512"/>
          </w:tcPr>
          <w:p>
            <w:r>
              <w:rPr>
                <w:rFonts w:ascii="Times New Roman" w:hAnsi="Times New Roman"/>
                <w:sz w:val="20"/>
              </w:rPr>
              <w:t>3 Wochen</w:t>
            </w:r>
          </w:p>
        </w:tc>
        <w:tc>
          <w:tcPr>
            <w:tcW w:type="dxa" w:w="1512"/>
          </w:tcPr>
          <w:p>
            <w:r>
              <w:rPr>
                <w:rFonts w:ascii="Times New Roman" w:hAnsi="Times New Roman"/>
                <w:sz w:val="20"/>
              </w:rPr>
              <w:t>IT-Operations</w:t>
            </w:r>
          </w:p>
        </w:tc>
        <w:tc>
          <w:tcPr>
            <w:tcW w:type="dxa" w:w="1512"/>
          </w:tcPr>
          <w:p>
            <w:r>
              <w:rPr>
                <w:rFonts w:ascii="Times New Roman" w:hAnsi="Times New Roman"/>
                <w:sz w:val="20"/>
              </w:rPr>
              <w:t>offen</w:t>
            </w:r>
          </w:p>
        </w:tc>
      </w:tr>
    </w:tbl>
    <w:p>
      <w:pPr>
        <w:pStyle w:val="Heading2"/>
      </w:pPr>
      <w:r>
        <w:rPr>
          <w:rFonts w:ascii="Times New Roman" w:hAnsi="Times New Roman"/>
        </w:rPr>
        <w:t>Grundregeln für die Aktenbearbeitung</w:t>
      </w:r>
    </w:p>
    <w:p>
      <w:pPr>
        <w:pStyle w:val="ListBullet"/>
      </w:pPr>
      <w:r>
        <w:t>Originalquellen und aktuelle Gesetzesfassungen an aktueller amtlicher Quelle prüfen — nicht aus älteren Schriftsätzen übernehmen.</w:t>
      </w:r>
    </w:p>
    <w:p>
      <w:pPr>
        <w:pStyle w:val="ListBullet"/>
      </w:pPr>
      <w:r>
        <w:t>Fehlende technische oder kaufmännische Nachweise nicht durch Vermutungen ersetzen — als Lücke führen, gezielt schließen.</w:t>
      </w:r>
    </w:p>
    <w:p>
      <w:pPr>
        <w:pStyle w:val="ListBullet"/>
      </w:pPr>
      <w:r>
        <w:t>Widersprüche zwischen Richtlinie, Tatsache und Vertrag explizit benennen — Risiko der unredlichen Compliance-Behauptung.</w:t>
      </w:r>
    </w:p>
    <w:p>
      <w:pPr>
        <w:pStyle w:val="ListBullet"/>
      </w:pPr>
      <w:r>
        <w:t>Für jede harte Aussage Aktenfundstelle nennen — andernfalls "noch zu belegen" markieren.</w:t>
      </w:r>
    </w:p>
    <w:p>
      <w:pPr>
        <w:pStyle w:val="ListBullet"/>
      </w:pPr>
      <w:r>
        <w:t>Geschäftsleitungs-Information dokumentieren, damit Paragraf  30 BSIG / Art. 20 NIS2-Pflichten nachweisbar sind.</w:t>
      </w:r>
    </w:p>
    <w:p>
      <w:pPr>
        <w:pStyle w:val="Heading2"/>
      </w:pPr>
      <w:r>
        <w:rPr>
          <w:rFonts w:ascii="Times New Roman" w:hAnsi="Times New Roman"/>
        </w:rPr>
        <w:t>Nächste Aktualisierung</w:t>
      </w:r>
    </w:p>
    <w:p>
      <w:pPr>
        <w:jc w:val="left"/>
      </w:pPr>
      <w:r>
        <w:t>Donnerstag, 04.06.2026, 14:00 Uhr — vor der Geschäftsleitungssitzung.</w:t>
      </w:r>
    </w:p>
    <w:p>
      <w:pPr>
        <w:pStyle w:val="Heading1"/>
      </w:pPr>
      <w:r>
        <w:t>Abgleich Unternehmensdaten</w:t>
      </w:r>
    </w:p>
    <w:p>
      <w:pPr>
        <w:pStyle w:val="Heading2"/>
      </w:pPr>
      <w:r>
        <w:t>Verbindlicher Aktenkopf</w:t>
      </w:r>
    </w:p>
    <w:p>
      <w:r>
        <w:t>Mandantin ist die Lahnwerke AG, Rheinuferstraße 88, 56068 Koblenz, eingetragen beim Amtsgericht Koblenz unter HRB 18422. Die Bezeichnung als GmbH in einem frühen Gesprächsvermerk beruhte auf einer übernommenen Lieferantenvorlage und wird für weitere Arbeitsprodukte nicht verwendet.</w:t>
      </w:r>
    </w:p>
    <w:p>
      <w:r>
        <w:t>Für jede offene Position werden Eigentümer, Lieferdatum, technische Quelle und Freigabeperson eingetragen. Fehlende C5-Unterlagen, Wiederanlaufprotokolle und Lieferantenantworten werden nicht als erfüllt markiert, nur weil ein Link oder eine Selbstauskunft vorliegt.</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