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Entwurf Widerspruch und Akteneinsicht</w:t>
      </w:r>
    </w:p>
    <w:p>
      <w:r>
        <w:t>Gegen den Bescheid wird vorsorglich Widerspruch eingelegt. Zugleich wird vollständige Akteneinsicht einschließlich Kopien, Bewertungsunterlagen, Protokollen und Unterlagen zum KI-Vorwurf beantragt.</w:t>
      </w:r>
    </w:p>
    <w:p>
      <w:r>
        <w:t>Die Begründung bleibt der ergänzten Akteneinsicht vorbehalten. Bereits jetzt werden die Anwendung einer alten Prüfungsordnung und die fehlende Substantiierung des KI-Vorwurfs gerügt.</w:t>
      </w:r>
    </w:p>
    <w:p>
      <w:pPr>
        <w:pStyle w:val="ListBullet"/>
      </w:pPr>
      <w:r>
        <w:t>Fristwahrung</w:t>
      </w:r>
    </w:p>
    <w:p>
      <w:pPr>
        <w:pStyle w:val="ListBullet"/>
      </w:pPr>
      <w:r>
        <w:t>Akteneinsicht</w:t>
      </w:r>
    </w:p>
    <w:p>
      <w:pPr>
        <w:pStyle w:val="ListBullet"/>
      </w:pPr>
      <w:r>
        <w:t>Eilantrag bei Exmatrikulation</w:t>
      </w:r>
    </w:p>
    <w:p>
      <w:pPr>
        <w:pStyle w:val="Heading1"/>
      </w:pPr>
      <w:r>
        <w:t>Sachverhalts- und Anlagenbezug</w:t>
      </w:r>
    </w:p>
    <w:p>
      <w:pPr>
        <w:pStyle w:val="Heading2"/>
      </w:pPr>
      <w:r>
        <w:t>Begehren</w:t>
      </w:r>
    </w:p>
    <w:p>
      <w:r>
        <w:t>Der Entwurf beantragt vollständige Akteneinsicht in Prüfbericht, Eingabedateien, verwendete Vergleichstexte, Sitzungsprotokoll, Voten und Zustellungsnachweis. Die angegriffene Entscheidung wird mit Datum, Matrikelnummer und Studiengang bezeichnet; eine Begründungsergänzung nach Akteneinsicht bleibt angekündigt.</w:t>
      </w:r>
    </w:p>
    <w:p>
      <w:r>
        <w:t>Die Studentin trägt vor, welche Passagen auf eigene Vorfassungen, Literaturverwaltung und Betreuerhinweise zurückgehen. Zu jeder Passage werden Dateiname, Änderungsdatum, lokaler Speicherort und möglicher Zeuge angegeben. Eine technische Schlussfolgerung wird nicht allein aus einem Prozentwert übernommen.</w:t>
      </w:r>
    </w:p>
    <w:p>
      <w:pPr>
        <w:pStyle w:val="Heading2"/>
      </w:pPr>
      <w:r>
        <w:t>Anlagen</w:t>
      </w:r>
    </w:p>
    <w:p>
      <w:r>
        <w:t>Beigefügt werden Abgabequittung, Versionsprotokoll, E-Mail des Betreuers vom 18. April 2026 und Ausdruck der Literaturdatenbank. Das Sekretariat kontrolliert vor Versand Seitenzahlen, Lesbarkeit, Vollmacht und Fristkalender.</w:t>
      </w:r>
    </w:p>
    <w:sectPr w:rsidR="00FC693F" w:rsidRPr="0006063C" w:rsidSect="00034616">
      <w:pgSz w:w="11906" w:h="16838"/>
      <w:pgMar w:top="1247" w:right="1134"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