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Staatsanwaltschaft Dresden</w:t>
        <w:br/>
        <w:t>204 Js 3812/26 | Haftsache</w:t>
      </w:r>
    </w:p>
    <w:p>
      <w:r>
        <w:t>Landgericht Dresden</w:t>
        <w:br/>
        <w:t>Große Strafkammer</w:t>
      </w:r>
    </w:p>
    <w:p>
      <w:r>
        <w:t>03.09.2026</w:t>
      </w:r>
    </w:p>
    <w:p>
      <w:pPr>
        <w:pStyle w:val="Title"/>
      </w:pPr>
      <w:r>
        <w:t>Anklage gegen Anselm Kornfeld</w:t>
      </w:r>
    </w:p>
    <w:p>
      <w:pPr>
        <w:pStyle w:val="Heading1"/>
      </w:pPr>
      <w:r>
        <w:t>1 Angeschuldigter und Verfahrensgegenstand</w:t>
      </w:r>
    </w:p>
    <w:p>
      <w:pPr/>
      <w:r>
        <w:t>Anselm Kornfeld, geboren am 07.06.1982, befindet sich seit dem 20.04.2026 aufgrund des Haftbefehls des Amtsgerichts Dresden 271 Gs 412/26 in Untersuchungshaft. Verteidiger ist Rechtsanwalt Benno Rautenkranz. Ihm wird zur Last gelegt, am 18.04.2026 gegen 02:15 Uhr die fremde Lagerhalle der Werkhof Elbbogen GmbH durch Einbringen und Entzünden von Kraftstoff vorsätzlich in Brand gesetzt zu haben.</w:t>
      </w:r>
    </w:p>
    <w:p>
      <w:pPr>
        <w:pStyle w:val="Heading1"/>
      </w:pPr>
      <w:r>
        <w:t>2 Anklagesatz</w:t>
      </w:r>
    </w:p>
    <w:p>
      <w:pPr/>
      <w:r>
        <w:t>Der Angeschuldigte soll sich nach einem Streit über eine Werklohnforderung von 18600 EUR zur Halle begeben und im Bereich der südlichen Tür Kraftstoff verteilt haben. Durch den Brand wurde das Gebäude überwiegend zerstört. Die Anklage legt Brandstiftung nach Paragraf 306 Absatz 1 Nummer 1 StGB zugrunde. Eine Verletzung von Personen wird nicht angeklagt.</w:t>
      </w:r>
    </w:p>
    <w:p>
      <w:pPr>
        <w:pStyle w:val="Heading1"/>
      </w:pPr>
      <w:r>
        <w:t>3 Beweismittel</w:t>
      </w:r>
    </w:p>
    <w:p>
      <w:pPr/>
      <w:r>
        <w:t>Benannt werden die Zeugen Eberhard Niesel, Adelgunde Halm und Raban Fleck, der Sachverständige Dr. Kunibert Funk, die Bildfolge der Zufahrtskamera, die Asservatenunterlagen und das Brandgutachten vom 19.08.2026. Der Zeuge Fleck bestätigt einen Besuch des Angeschuldigten am Vorabend, kann dessen Abfahrtszeit aber nicht genau nennen. Die Angaben werden nicht als vollständiges Alibi gewertet.</w:t>
      </w:r>
    </w:p>
    <w:p>
      <w:pPr>
        <w:pStyle w:val="Heading1"/>
      </w:pPr>
      <w:r>
        <w:t>4 Verfahrenshinweise</w:t>
      </w:r>
    </w:p>
    <w:p>
      <w:pPr/>
      <w:r>
        <w:t>Es wird beantragt, das Hauptverfahren zu eröffnen und die Untersuchungshaft fortdauern zu lassen. Die Staatsanwaltschaft verweist auf die bisherige Fluchtprognose. Eine zwischenzeitlich behauptete Aufnahme bei der Schwester ist bislang nicht durch eine unterschriebene Erklärung belegt. Die Einzelheiten der Haftdauer und des Gutachtenablaufs sind der gesonderten Übersicht zu entnehmen.</w:t>
      </w:r>
    </w:p>
    <w:p>
      <w:pPr/>
      <w:r>
        <w:t>Roswitha Epp</w:t>
        <w:br/>
        <w:t>Staatsanwältin</w:t>
        <w:br/>
        <w:t>Eingang Landgericht: 04.09.2026 | zugeteilt 2 KLs 204 Js 3812/26</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Anklage gegen Anselm Kornfeld</dc:title>
  <dc:subject/>
  <dc:creator>Klotzkette</dc:creator>
  <cp:keywords/>
  <dc:description>generated by python-docx</dc:description>
  <cp:lastModifiedBy>Klotzkette</cp:lastModifiedBy>
  <cp:revision>1</cp:revision>
  <dcterms:created xsi:type="dcterms:W3CDTF">2026-10-16T08:00:00Z</dcterms:created>
  <dcterms:modified xsi:type="dcterms:W3CDTF">2026-10-16T08:00:00Z</dcterms:modified>
  <cp:category/>
  <dc:language>de-DE</dc:language>
</cp:coreProperties>
</file>