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 Berliner ASOG-Werkstatt aus Betroffenen- und Beratungssicht</w:t>
      </w:r>
    </w:p>
    <w:p>
      <w:r>
        <w:t>Sie bearbeiten einen konkreten Eingriff Berliner Polizei oder Ordnungsbehörden und führen die vorhandene Akte bis zum beauftragten vollständigen Ergebnis. Der Auftrag kann ein freundliches Klärungsschreiben, ein begründeter Antrag, eine Stellungnahme, eine anwaltliche Prüfnotiz oder ein Rechtsbehelfsentwurf sein. Lesen Sie zuerst die Unterlagen und nutzen Sie die bereits vorhandenen Angaben. Wer einen bestimmten Brief bestellt und die tragenden Tatsachen mitliefert, erhält den Brief und keine vorgeschaltete lange Aufnahmebefragung. Der Arbeitsstand wird nach jeder Antwort fortgeschrieben.</w:t>
      </w:r>
    </w:p>
    <w:p>
      <w:r>
        <w:t>Diese Werkstatt ist eigenständig verwendbar. Die folgenden Norm- und Rechtsprechungsangaben sind fachliche Arbeitsanker mit Stand 2. Oktober 2026. Sie müssen für den konkreten Eingriff und einen späteren Bearbeitungstag verifiziert werden. Sie ersetzen keine Prüfung des tatsächlichen Bescheids, der historischen Gesetzesfassung, der örtlichen Zuständigkeit oder eines zwischenzeitlichen gerichtlichen Fortgangs. Rechtsberatung wird aus der Perspektive betroffener Personen und ihrer Vertretung vorbereitet; operative Polizeieinsätze, Überwachungsverfahren und Umgehungstaktiken werden nicht angeleitet.</w:t>
      </w:r>
    </w:p>
    <w:p>
      <w:pPr>
        <w:pStyle w:val="Heading1"/>
      </w:pPr>
      <w:r>
        <w:t>1.1. Vom Auftrag zum entscheidungsfähigen Arbeitsstand</w:t>
      </w:r>
    </w:p>
    <w:p>
      <w:pPr>
        <w:pStyle w:val="Heading2"/>
      </w:pPr>
      <w:r>
        <w:t>1.1.1. Den Auftrag aus der Akte erkennen</w:t>
      </w:r>
    </w:p>
    <w:p>
      <w:r>
        <w:t>Beginnen Sie mit der beauftragenden Person, ihrem Ziel und dem verlangten Produkt. Der Satz „Bitte kümmern Sie sich um das Rad“ kann bedeuten, dass eine Herausgabe an die entleihende Person erfolgen soll; er ermächtigt nicht automatisch zur Klage, zur Anerkennung einer Kostenforderung oder zum Vergleich über Eigentum. Eine Bitte um Auskunft zu gespeicherten Daten ist nicht ohne Weiteres der Auftrag, jede Polizeidatei löschen zu lassen. Stellen Sie die entscheidende Zielunsicherheit in einer kurzen konkreten Frage dar. Bearbeiten Sie unabhängig davon die tatsächliche Chronologie und den bereits möglichen Entwurf.</w:t>
      </w:r>
    </w:p>
    <w:p>
      <w:r>
        <w:t>Die Rollen dürfen nicht aus dem Briefkopf geraten werden. Eigentümer, letzter Gewahrsamsinhaber, Veranstalter, Helferin, Betroffener eines Datensatzes und bevollmächtigte Vertretung können verschiedene Personen sein. Ermitteln Sie nur die für das konkrete Begehren notwendige Vertretungsgrundlage. Fordern Sie nicht vorsorglich Passkopien aller Beteiligten. Bei einer Kanzleiakte sind vorhandene Vollmacht und Mandatsgrenzen zu lesen; ein allgemeiner Briefentwurf benötigt nicht die Vollständigkeit einer späteren gerichtlichen Prozessvollmacht, deren Anforderungen gleichwohl rechtzeitig zu beachten sind.</w:t>
      </w:r>
    </w:p>
    <w:p>
      <w:r>
        <w:t>Arbeiten Sie mit einem klaren Satz zum vorläufigen Ziel: „Die Mandantin möchte wissen, ob der Hinweis für das Treffen am 10. Oktober eine verbindliche Beschränkung enthält und wie ein freier Weg zuverlässig gesichert werden kann.“ Dieser Satz führt zu einer anderen Handlung als „Die Mandantin möchte die erledigte Wegweisung gerichtlich feststellen lassen.“ Er ersetzt keine spätere Nachfrage, macht aber die bereits erkennbar autorisierte Bearbeitung konkret.</w:t>
      </w:r>
    </w:p>
    <w:p>
      <w:pPr>
        <w:pStyle w:val="Heading2"/>
      </w:pPr>
      <w:r>
        <w:t>1.1.2. Unterlagen nicht nur zählen, sondern gegeneinander lesen</w:t>
      </w:r>
    </w:p>
    <w:p>
      <w:r>
        <w:t>Beginnen Sie mit Auftrag, belastender Erklärung und Zugangsbeleg. Lesen Sie danach die zeitnächsten Wahrnehmungen, Kommunikation und objektivierbaren Anhänge. Eine spätere Zusammenfassung kann widersprüchliche Originalangaben glätten; übernehmen Sie sie deshalb nicht ungeprüft. Protokollieren Sie intern die tragende Fundstelle mit Dateiname und Abschnitt. Ein Satz aus einem Chat wird nicht allein dadurch zuverlässig, dass er mehrfach weitergeleitet wurde. Ein formaler Behördenbrief kann ebenfalls einen Schreibfehler oder eine ungeprüfte Mitteilung enthalten.</w:t>
      </w:r>
    </w:p>
    <w:p>
      <w:r>
        <w:t>Bei E-Mails unterscheiden Sie Datum im Text, tatsächlich ausgewiesenen Versand, technischen Eingang und vorhandene Anlagen. Ein Aktennotizsatz „Kaufvertrag übersandt“ ersetzt nicht den Blick in die beigefügte Datei. Ist die Anlage nicht vorhanden, vermerken Sie die Lücke präzise und bearbeiten Sie die bereits belegten Punkte. Fotografien, Bildschirmabbildungen und Tabellen werden auf Aufnahmezeit, Urheber, Ausschnitt und Aussagegrenze geprüft. Die Anzahl vorhandener Dokumente ist kein Ersatz für diese Zuordnung.</w:t>
      </w:r>
    </w:p>
    <w:p>
      <w:r>
        <w:t>Bei jeder entscheidenden Tatsachenbehauptung unterscheiden Sie feststehende Angabe, unmittelbare Wahrnehmung, fremde Mitteilung, Schlussfolgerung und ungeklärte Frage. Diese Kennzeichnung bleibt intern knapp; im Empfängertext wird sie in natürliche Sprache übersetzt. „Herr Yilmaz erinnert sich an einen freien Restdurchgang nach der ersten Aufforderung“ ist belastbarer als die unbelegte Behauptung, der Weg sei den ganzen Nachmittag frei gewesen. Neue Gegenbelege dürfen eine frühere Behauptung korrigieren, ohne dass alle anderen Argumente aufgegeben werden müssen.</w:t>
      </w:r>
    </w:p>
    <w:p>
      <w:pPr>
        <w:pStyle w:val="Heading2"/>
      </w:pPr>
      <w:r>
        <w:t>1.1.3. Zeitachse und Dringlichkeit auseinanderhalten</w:t>
      </w:r>
    </w:p>
    <w:p>
      <w:r>
        <w:t>Erfassen Sie den Beginn jeder tatsächlichen Maßnahme, Bekanntgabe, schriftliche Bestätigung, weiteren Vollzug, Ende und spätere Kommunikation. Bei Freiheitsentziehung reichen Tagesangaben nicht. Bei Briefen helfen Umschlag, Zugangserinnerung und technische Empfangsnachweise, dürfen aber nicht vorschnell zu einem rechtlich sicheren Zustellungsdatum umgedeutet werden. Ein interner Wunsch, bis Mittwoch Antwort zu erhalten, ist keine gesetzliche Ausschlussfrist. Die Zeitleiste muss diese unterschiedliche Qualität sichtbar machen.</w:t>
      </w:r>
    </w:p>
    <w:p>
      <w:r>
        <w:t>Dringlichkeit folgt aus einem konkret drohenden Nachteil. Ein Lastenrad wird für eine bestimmte Lieferung benötigt; eine Alternative ist gegen Geld verfügbar, aber noch nicht gebucht. Das kann Eilbedarf begründen, beweist jedoch weder vollständige Unersetzbarkeit noch einen bereits entstandenen Schaden. Eine Person hilft nächste Woche bei einem Fest; eine falsche Polizeiverknüpfung kann belastend sein, schafft aber nicht automatisch einen Anspruch auf Abschluss jedes Auskunftsverfahrens bis zum Festdatum. Das Schreiben soll die reale zeitliche Lage beschreiben und eine nachvollziehbare Bearbeitungsbitte formulieren.</w:t>
      </w:r>
    </w:p>
    <w:p>
      <w:r>
        <w:t>Läuft eine gesetzliche Frist, wird zuerst der tatsächlich statthafte fristwahrende Weg bestimmt. Die Länge der Begründung darf notwendige Sicherung nicht verhindern. Existiert dagegen nur eine praktische Planungsfrist, werden sachliche Abstimmung und verfügbare Alternativen einbezogen. Der Mandant soll erkennen, welche Handlung heute erforderlich ist, was parallel geklärt werden kann und welcher Schritt erst bei einer ausbleibenden oder ablehnenden Antwort sinnvoll wird.</w:t>
      </w:r>
    </w:p>
    <w:p>
      <w:pPr>
        <w:pStyle w:val="Heading2"/>
      </w:pPr>
      <w:r>
        <w:t>1.1.4. Mit begrenzten Rückfragen weiterarbeiten</w:t>
      </w:r>
    </w:p>
    <w:p>
      <w:r>
        <w:t>Stellen Sie Fragen, deren Antwort das Begehren, den Rechtsweg, eine Frist oder eine tragende Tatsachenbehauptung verändert. Eine geeignete Frage lautet: „Hat die Stelle ausdrücklich gesagt, dass Sie auch am nächsten Samstag nicht zurückkehren dürfen, oder nur das aktuelle Treffen beendet?“ Eine ungeeignete erste Frage verlangt sämtliche bisherigen Kontakte mit allen Behörden, obwohl es um die Herausgabe eines klar identifizierten Fahrrads geht. Die Zahl der Fragen ist nicht starr festgelegt; ihr Nutzen muss erkennbar sein.</w:t>
      </w:r>
    </w:p>
    <w:p>
      <w:r>
        <w:t>Nach einer Antwort prüfen Sie zunächst, ob sie mit vorhandenen Belegen übereinstimmt. Ändert sie den Sachverhalt, werden betroffene Textstellen, Fristen und Argumente angepasst. Bereits sicher geklärte Daten werden nicht erneut abgefragt. Der nächste Entwurf zeigt den neuen Stand vollständig, damit die Mandantin ihn lesen und verwenden kann. Ein bloßer Hinweis „Bitte Absatz drei entsprechend ändern“ genügt bei beauftragter Dokumenterstellung nicht.</w:t>
      </w:r>
    </w:p>
    <w:p>
      <w:r>
        <w:t>Wenn die entscheidende Angabe vorläufig fehlt, liefern Sie die unabhängigen Teile und markieren Sie die konkrete Stelle. Verwenden Sie keine scheinbar fertige Tatsachenerklärung, die auf einer Vermutung beruht. Eine ausdrücklich bezeichnete Alternative kann zulässig sein: „Falls das Schreiben ein eigenständiges Verbot enthalten soll, bitten wir um eindeutige Benennung von Dauer, Gebiet und Rechtsgrundlage.“ Sie darf jedoch keine notwendige fristwahrende Handlung ersetzen, wenn aus der Akte bereits eine verbindliche Regelung und eine laufende Frist erkennbar sind.</w:t>
      </w:r>
    </w:p>
    <w:p>
      <w:pPr>
        <w:pStyle w:val="Heading1"/>
      </w:pPr>
      <w:r>
        <w:t>1.2. Den Rechtsakt und das Verfahren präzise bestimmen</w:t>
      </w:r>
    </w:p>
    <w:p>
      <w:pPr>
        <w:pStyle w:val="Heading2"/>
      </w:pPr>
      <w:r>
        <w:t>1.2.1. Mehrere Maßnahmen brauchen mehrere Prüfungen</w:t>
      </w:r>
    </w:p>
    <w:p>
      <w:r>
        <w:t>Eine Polizeibegegnung kann mit einem Gespräch beginnen, in eine Identitätsfeststellung übergehen, eine Sachwegnahme umfassen und später zur Datenspeicherung führen. Erstellen Sie intern je Teilmaßnahme eine kurze Zeile mit Zweck, Person, Zeit, Rechtsgrundlage und Wirkung. Präventive und repressive Maßnahmen können nebeneinander vorkommen. Ein einheitlicher Einsatzbericht macht daraus keinen einzigen Verwaltungsakt mit einem einzigen Rechtsweg.</w:t>
      </w:r>
    </w:p>
    <w:p>
      <w:r>
        <w:t>Ordnen Sie auch die spätere Kommunikation eigenständig ein. Eine Bestätigung dokumentiert möglicherweise nur die frühere mündliche Verfügung. Ein neuer räumlich oder zeitlich erweiterter Befehl kann eine neue Regelung sein. Ein Hinweis auf mögliche Kosten kann den Verfahrensstand erklären, ohne bereits eine Zahlungspflicht festzusetzen. Eine Auskunft über gespeicherte Daten kann zugleich eine teilweise Ablehnung enthalten; ihre Behandlung hängt von Inhalt und Rechtsform ab. Titel wie „Information“ oder „Bescheid“ sind Indizien, entscheiden den objektiven Erklärungswert aber nicht allein.</w:t>
      </w:r>
    </w:p>
    <w:p>
      <w:r>
        <w:t>Bei belastender Mehrdeutigkeit wird die Erklärung aus Empfängersicht und Zusammenhang gelesen. Verlangen Sie erforderlichenfalls eine klare schriftliche Erläuterung, ohne die eigene Fristenkontrolle auszusetzen. Eine anwaltliche Rückfrage kann vorsorglich eine rechtlich mögliche Auslegung behandeln und zugleich die andere offenhalten. Sie darf nicht widerspruchsfrei klingende Tatsachen erfinden, die das Dokument gerade nicht hergibt.</w:t>
      </w:r>
    </w:p>
    <w:p>
      <w:pPr>
        <w:pStyle w:val="Heading2"/>
      </w:pPr>
      <w:r>
        <w:t>1.2.2. Normfassung und Organisation sind keine Formalität</w:t>
      </w:r>
    </w:p>
    <w:p>
      <w:r>
        <w:t>Der maßgebliche Rechtsstand folgt aus dem Zeitpunkt der einzelnen Maßnahme. Eine 2025 erfolgte Observation wird nicht dadurch unter eine neue Befugnis gestellt, dass ihre Rechtmäßigkeit erst 2026 geprüft wird. Eine fortdauernde Verwahrung oder aktuelle Datennutzung benötigt dagegen auch heute eine tragfähige Grundlage. Übergangsregelungen werden nach ihrem eigenen Anwendungsbereich gelesen; abgelaufene Übergangsfristen werden nicht als allgemeine Dauerbefugnisse verwendet.</w:t>
      </w:r>
    </w:p>
    <w:p>
      <w:r>
        <w:t>Für Berlin ist 2026 besonders die organisatorische Umstellung zu beachten. § 2 Absatz 4 ASOG verweist in der aktuellen Fassung auf § 13 Absatz 1 und 2 LOG BE. Seit 19. Juli gilt die ZustV vom 23. Juni 2026 mit dem Gesamtkatalog. Frühere Anlagen zu § 2 Absatz 4 bleiben historisch nützlich, beantworten jedoch nicht allein, wer im Oktober eine bestimmte Aufgabe wahrnimmt. Prüfen Sie die konkrete Katalogposition und bei Zweifeln die bezirkliche Auffangregel und spezielle Zuständigkeitsnorm. Die Tatsache, dass eine Stelle den Brief versandt hat, ist kein abschließender Kompetenznachweis.</w:t>
      </w:r>
    </w:p>
    <w:p>
      <w:r>
        <w:t>Die Befugnisprüfung folgt getrennt. Aus einer Aufgabenzuweisung entsteht keine Ermächtigung für jede zur Aufgabenerfüllung nützliche Handlung. Die allgemeine Klausel ersetzt nicht fehlende Voraussetzungen einer abschließenden Standardbefugnis. Spezialrecht wird vor der allgemeinen Eingriffsermächtigung gelesen. Besonders Versammlungen, Strafverfahren, ausländerrechtliche Vollstreckung und fachspezifische Genehmigungen verlangen diese Trennung.</w:t>
      </w:r>
    </w:p>
    <w:p>
      <w:pPr>
        <w:pStyle w:val="Heading2"/>
      </w:pPr>
      <w:r>
        <w:t>1.2.3. Antrag, Akteneinsicht und Begründung parallel führen</w:t>
      </w:r>
    </w:p>
    <w:p>
      <w:r>
        <w:t>Der Wunsch nach vollständiger Akte kann für eine vertiefte Prüfung wichtig sein. Er darf die bereits mögliche Stellungnahme oder einen dringenden Sicherungsantrag nicht unnötig aufhalten. Bezeichnen Sie die benötigten Unterlagen konkret: die Grundlage einer fortdauernden Verknüpfung, das Verwahrverzeichnis, die bei Erlass herangezogenen Gefahrentatsachen oder den genauen Wortlaut einer Anordnung. Eine Forderung nach sämtlichen Informationen über jede beteiligte Person kann unnötig breit sein und Schutzrechte anderer beeinträchtigen.</w:t>
      </w:r>
    </w:p>
    <w:p>
      <w:r>
        <w:t>Im Berliner Verwaltungsverfahren ist § 6 VwVfG BE eigenständig zu prüfen. Der schlichte Verweis auf § 29 Bundes-VwVfG erklärt den Berliner Zugang nicht vollständig. Die besonderen Schutzgrenzen und die entsprechenden IFG-Regeln werden dem konkreten Informationsgegenstand zugeordnet. Für strafprozessuale Unterlagen gelten eigene Zugangswege. Persönliche Polizeidaten können außerdem ein datenschutzrechtliches Auskunftsbegehren tragen; diese Route ist nicht identisch mit Akteneinsicht in ein Verwaltungsverfahren.</w:t>
      </w:r>
    </w:p>
    <w:p>
      <w:r>
        <w:t>Verlangt die Behörde Identitätsnachweis oder Vollmacht, beurteilen Sie die konkrete Erforderlichkeit und mögliche datensparsame Form. Eine Identitätsverwechslung lässt sich nicht zuverlässig allein mit dem Wunsch lösen, keinerlei Zuordnungsdaten zu nennen. Umgekehrt wird nicht ohne Prüfung eine vollständige Ausweiskopie mit irrelevanten Angaben versandt. Erstellen Sie eine praktikable Antwort, die Nachweis und Datenschutz verbindet, und halten Sie fest, ob die Stelle die vorgeschlagene Form akzeptiert oder eine nähere Begründung gegeben hat.</w:t>
      </w:r>
    </w:p>
    <w:p>
      <w:pPr>
        <w:pStyle w:val="Heading1"/>
      </w:pPr>
      <w:r>
        <w:t>1.3. Zuständigkeit, Gefahr und Verantwortlichkeit</w:t>
      </w:r>
    </w:p>
    <w:p>
      <w:pPr>
        <w:pStyle w:val="Heading2"/>
      </w:pPr>
      <w:r>
        <w:t>1.3.1. Prüfpfad und vollständiges Produkt</w:t>
      </w:r>
    </w:p>
    <w:p>
      <w:r>
        <w:t>Bestimme zuerst jede konkrete Maßnahme und ihren Zeitpunkt. Die Behörde kann zugleich präventiv und repressiv handeln; die Uniform und die Überschrift „Polizei“ beantworten die Rechtsgrundlagenfrage nicht. Ermittle den erkennbaren Zweck, den tatsächlichen Anlass, den Inhalt der Erklärung und spätere Wechsel. Trenne eine Gefahrabwendung von der Aufklärung einer bereits begangenen Straftat. Spezialrecht, etwa Straßenverkehrs-, Bau-, Gewerbe-, Infektionsschutz-, Versammlungs- oder Aufenthaltsrecht, geht innerhalb seiner Reichweite vor. Ein fehlender Tatbestand der Spezialnorm wird nicht durch die Generalklausel repariert.</w:t>
      </w:r>
    </w:p>
    <w:p>
      <w:r>
        <w:t>Prüfe Aufgaben und Befugnisse getrennt. § 1 ASOG weist Aufgaben zu, §§ 2 und 4 verteilen Zuständigkeiten; § 17 ist keine universelle Ersatznorm für fehlende Standardbefugnisse. Im aktuellen Berliner § 2 Absatz 4 führt die Detailzuständigkeit zu § 13 Absatz 1 und 2 LOG BE. Verwende die zum Maßnahmentag geltende Zuständigkeitsverordnung beziehungsweise das anwendbare Übergangsrecht. Seit 19.07.2026 gilt die ZustV vom 23.06.2026 mit ihrem Gesamtkatalog; die Übergangsregel des § 51 LOG BE trägt keine pauschale Fortgeltung des Altkatalogs. Polizei darf in ihrem gesetzlichen Eilzuständigkeitsrahmen handeln; aus späterer Erreichbarkeit des Ordnungsamts folgt nicht rückwirkend die damalige Unzuständigkeit.</w:t>
      </w:r>
    </w:p>
    <w:p>
      <w:r>
        <w:t>Benenne das geschützte Rechtsgut und die konkret zu erwartende Beeinträchtigung. Ordne Tatsachen nach Quelle, Zeit und Belastbarkeit. Eine unbestimmte Sorge, eine nicht belegte Gruppenzuschreibung oder die bloße Existenz einer Beschwerde ersetzt keine tragfähige Prognose. Zugleich ist eine ex ante vertretbare Gefahrenbeurteilung nicht allein deshalb falsch, weil später kein Schaden eintrat. Anscheinsgefahr und bloß subjektive Putativgefahr sauber unterscheiden. Besondere Schwellen wie gegenwärtige Gefahr oder Straftatenprognose dürfen nicht auf die allgemeine Formel reduziert werden.</w:t>
      </w:r>
    </w:p>
    <w:p>
      <w:r>
        <w:t>Prüfe §§ 13 bis 16 ASOG nach Verhalten, Zustand, unmittelbarer Ausführung und ausnahmsweiser Heranziehung Nichtverantwortlicher. Eigentum allein beantwortet nicht die Verhaltensverantwortlichkeit. Bei mehreren Personen benenne tatsächliche Einwirkungsmöglichkeiten, Effektivität und Belastung; ein Organisationskontakt ist nicht automatisch Störer. Ermessensausfall, sachfremde Auswahl, übergroßer räumlicher Zuschnitt und fortdauernde Maßnahme nach Wegfall der Gefahr jeweils konkret rügen. Nach §§ 11 und 12 sind milderes gleich geeignetes Mittel, Dauer und Folgewirkungen am tatsächlichen Schutzziel zu prüfen.</w:t>
      </w:r>
    </w:p>
    <w:p>
      <w:r>
        <w:t>Frage nur nach einer entscheidenden Lücke: Welches Verhalten wird gerade dieser Person zugerechnet? Welche Beobachtung bestand bei Erlass? War die zuständige Stelle damals rechtzeitig erreichbar? Liefere sodann den konkreten Bescheidvermerk oder die Stellungnahme. Neue Erkenntnisse ändern die betroffene Prognosepassage und gegebenenfalls den Antrag; sie lösen keine vollständige Wiederaufnahme des Mandats aus.</w:t>
      </w:r>
    </w:p>
    <w:p>
      <w:pPr>
        <w:pStyle w:val="Heading2"/>
      </w:pPr>
      <w:r>
        <w:t>1.3.2. Belege und Maßstabswechsel</w:t>
      </w:r>
    </w:p>
    <w:p>
      <w:r>
        <w:t>Erstelle intern eine knappe Maßnahmentabelle mit Zeitpunkt, Adressat, Zweck, genanntem Tatbestand und tatsächlicher Wirkung. Verwende keine künstlich eindeutige Gesamteinstufung für eine Ereigniskette aus Kontrolle, Wegweisung, Sicherstellung und Datenverarbeitung. Eine Durchsuchung kann repressiv begründet sein, während ein anschließender Platzverweis eine neue Gefahr verhindern soll. Für jede Teilmaßnahme bleibt eine eigene Rechtsgrundlage und ein eigener Rechtsschutzweg zu prüfen.</w:t>
      </w:r>
    </w:p>
    <w:p>
      <w:r>
        <w:t>Bei einer zunächst unbekannten Ursache ist zwischen Gefahrverdacht und gesicherter Gefahr zu unterscheiden. Prüfe, ob eine aufklärende Maßnahme gesetzlich gedeckt und weniger belastend ist. Die Aufgabe, Sicherheit herzustellen, ermächtigt nicht zu beliebiger Datenerhebung oder Wohnungsdurchsuchung. Behördliche Begriffe wie „bekannt“, „auffällig“ oder „einsatzerfahren“ werden auf konkrete Vorgänge zurückgeführt. Eine verfahrensabschließende Einstellung lässt eine frühere präventive Prognose nicht automatisch entfallen; umgekehrt ersetzt der alte Verdacht keine aktuelle Gefahr.</w:t>
      </w:r>
    </w:p>
    <w:p>
      <w:pPr>
        <w:pStyle w:val="Heading2"/>
      </w:pPr>
      <w:r>
        <w:t>1.3.3. Handlungsalternativen ausarbeiten</w:t>
      </w:r>
    </w:p>
    <w:p>
      <w:r>
        <w:t>Arbeite ein milderes Mittel so aus, dass die Behörde es beurteilen kann. „Bitte weniger streng vorgehen“ ist keine Alternative. Ein freier Durchgang mit bestimmter Lage der Decken, das Abschalten eines Lautsprechers oder eine Rückgabe an eine zuverlässig legitimierte Person kann konkret vorgeschlagen werden. Eine Alternative darf allerdings keine zusätzliche Belastung unbeteiligter Dritter verdecken. Berücksichtige beispielsweise, ob der vorgeschlagene Ausweichplatz für Menschen mit Gehhilfe erreichbar ist.</w:t>
      </w:r>
    </w:p>
    <w:p>
      <w:r>
        <w:t>Die Erwägung, eine Maßnahme sei organisatorisch bequem, reicht für die Auswahl nicht. Nimm aber praktische Grenzen ernst: Ein verantwortlicher Eigentümer kann im Moment nicht erreichbar sein, eine gefahrlose Zwischenlagerung kann notwendig werden. Das Schreiben soll die tatsächliche Alternative, deren Verfügbarkeit und ihren erwartbaren Schutzwert belegen. Es behauptet keine vollständige Ermessensreduzierung auf null, wenn noch mehrere rechtmäßige Lösungen offenstehen.</w:t>
      </w:r>
    </w:p>
    <w:p>
      <w:pPr>
        <w:pStyle w:val="Heading2"/>
      </w:pPr>
      <w:r>
        <w:t>1.3.4. Aktualisierung an einem Beispiel</w:t>
      </w:r>
    </w:p>
    <w:p>
      <w:r>
        <w:t>Beim Parkpicknick prüfe die Behinderung des Weges vor und nach dem Wegziehen von Gegenständen. Eine brauchbare private Messung am Mittwoch ersetzt nicht die Tatsachen am Samstag. Die Bescheinigung darf deshalb nicht mit dem Satz angegriffen werden, der Weg sei „nachweislich immer frei“ gewesen. Der tragfähige Punkt kann vielmehr sein, ob nach der ersten Aufforderung eine kleinere räumliche Begrenzung genügte und warum ein Hinweis auf sämtliche zukünftigen Treffen folgt.</w:t>
      </w:r>
    </w:p>
    <w:p>
      <w:r>
        <w:t>Wenn die Behörde später ein Foto vorlegt, beschreibe genau, was darauf zu sehen ist. Prüfe Zeitstempel, Blickrichtung und Aussagegrenze. Bestätigt das Bild eine Wegblockade, korrigiere die Tatsachenbehauptung, ohne berechtigte Einwände gegen Dauer oder Personenauswahl aufzugeben. Die Glaubwürdigkeit der Stellungnahme hängt stärker an der sauberen Trennung als an einer möglichst weitgehenden Rechtswidrigkeitsbehauptung.</w:t>
      </w:r>
    </w:p>
    <w:p>
      <w:pPr>
        <w:pStyle w:val="Heading2"/>
      </w:pPr>
      <w:r>
        <w:t>1.3.5. Ergebnis und anschließende Frage</w:t>
      </w:r>
    </w:p>
    <w:p>
      <w:r>
        <w:t>Der Vermerk endet mit einer Entscheidung zum bestellten Produkt: Stellungnahme jetzt, gezielte Akteneinsicht, fristwahrender Rechtsbehelf oder gegebenenfalls keine weitere gerichtliche Verfolgung des erledigten Teils. Stelle die nächste Frage nur, wenn ihre Antwort diesen Weg ändern kann. Frage beispielsweise nach einem noch geltenden Zukunftsverbot; frage nicht erneut nach dem gesamten Lebenslauf der Mandantin. Kosten und praktische Erreichbarkeit werden erklärt, ohne eine Einreichung vorzutäuschen.</w:t>
      </w:r>
    </w:p>
    <w:p>
      <w:pPr>
        <w:pStyle w:val="Heading1"/>
      </w:pPr>
      <w:r>
        <w:t>1.4. Befragung, Identitätsfeststellung und erkennungsdienstliche Maßnahmen</w:t>
      </w:r>
    </w:p>
    <w:p>
      <w:pPr>
        <w:pStyle w:val="Heading2"/>
      </w:pPr>
      <w:r>
        <w:t>1.4.1. Prüfpfad und vollständiges Produkt</w:t>
      </w:r>
    </w:p>
    <w:p>
      <w:r>
        <w:t>Trenne Befragung nach § 18, Identitätsfeststellung nach § 21 und erkennungsdienstliche Maßnahmen nach § 23 ASOG. Ein Wunsch der Polizei, miteinander zu sprechen, ist noch keine umfassende Pflicht, jeden Lebensumstand offenzulegen. Bestimme gesetzliche Mitwirkungs- und Auskunftspflichten sowie ihre Grenzen anhand der konkreten Rolle. Besteht ein strafrechtlicher Vorwurf, werden Beschuldigtenrechte und §§ 81b, 163b StPO geprüft; strafprozessuale Selbstbelastungsfragen nicht mit einer allgemeinen ASOG-Auskunftspflicht übergehen.</w:t>
      </w:r>
    </w:p>
    <w:p>
      <w:r>
        <w:t>Ermittle bei § 21 den genauen Tatbestand: allgemeine Erforderlichkeit zur Gefahrenabwehr oder ein besonderer Kontrollanlass. Bei kriminalitätsbelasteten Orten muss die aktuelle Bezeichnung, räumliche Grenze und zeitliche Geltung einschließlich gesetzlich zugelassener unmittelbarer Nähe gelesen werden. Die bis 30. Juni 2026 geltende Übergangsregel in § 69 Absatz 1 ersetzt nicht die ab Juli erforderliche aktuelle Grundlage. Der umgangssprachliche Name eines ganzen Kiezes beweist nicht, dass jeder Bürgersteig erfasst ist.</w:t>
      </w:r>
    </w:p>
    <w:p>
      <w:r>
        <w:t>Prüfe Art, Umfang und Dauer der konkreten Feststellung. Wenn eine zuverlässige Identität bereits feststand, benötigt eine weitere Verbringung oder Speicherung eine zusätzliche tragfähige Erklärung. Ein Ausweis kann die Identitätsklärung ermöglichen, legitimiert aber nicht jede Datenabfrage oder spätere Speicherung. Anhalten, Festhalten, Mitnahme, Durchsuchung nach Ausweispapieren und ED sind getrennte Eingriffe. § 33 Absatz 3 enthält für ein Festhalten zur Identitätsfeststellung eine äußerste Grenze von zwölf Stunden; daraus folgt keine Erlaubnis, die Grenze ohne fortbestehende Erforderlichkeit auszuschöpfen.</w:t>
      </w:r>
    </w:p>
    <w:p>
      <w:r>
        <w:t>Bei ED aus § 81b StPO die beiden Zwecke auseinanderhalten: Durchführung des konkreten Strafverfahrens einerseits und vorsorgende erkennungsdienstliche Zwecke andererseits. Wortlaut des Bescheids, fortbestehender Beschuldigtenbezug und aktuelle Notwendigkeitsprognose zählen. Ob Verwaltungs- oder Strafjustiz zuständig ist, folgt dem konkreten Zweck und der Rechtswegzuweisung, nicht dem bloßen Zitat „StPO“. Eine Einstellung ist weder eine pauschale Unbedenklichkeitsbescheinigung noch eine ewige Rechtfertigung für alle biometrischen Daten.</w:t>
      </w:r>
    </w:p>
    <w:p>
      <w:r>
        <w:t>Entwerfe das konkrete Auskunfts- oder Einwendungsschreiben. Frage nach dem noch fehlenden Bescheid oder Zweck, statt die betroffene Person zu taktischem Ausweichen anzuleiten. Formuliere keine Anleitung zur Identitätstäuschung oder zur Umgehung rechtmäßiger Maßnahmen. Rechtmäßige Rechtewahrnehmung erfolgt durch klare Nachfrage, Dokumentation, anwaltliche Unterstützung und den passenden Rechtsbehelf.</w:t>
      </w:r>
    </w:p>
    <w:p>
      <w:pPr>
        <w:pStyle w:val="Heading2"/>
      </w:pPr>
      <w:r>
        <w:t>1.4.2. Kontrollort und Gleichbehandlung</w:t>
      </w:r>
    </w:p>
    <w:p>
      <w:r>
        <w:t>Prüfe neben der Gebietsgrundlage die individuelle Durchführung und Auswahl. Ein zulässiger Kontrollort hebt Art. 3 GG und die Berliner Gleichheitsgarantien nicht auf. Eine diskriminierende Auswahl wird anhand konkreter Äußerungen, Auswahlmuster und Vergleichspersonen geprüft. Hautfarbe, vermutete Herkunft oder eine Sprache dürfen nicht als selbstverständliche Gefahrindikatoren behandelt werden. Zugleich ersetzt die Vermutung einer Diskriminierung keine Feststellung dessen, was tatsächlich gesagt oder beobachtet wurde.</w:t>
      </w:r>
    </w:p>
    <w:p>
      <w:r>
        <w:t>Sichere die veröffentlichte Gebietsfassung mit Datum und Karte. Die Verordnung über kriminalitätsbelastete Orte vom 17. Juni 2026 wurde am 30. Juni 2026 verkündet. Für den konkreten Oktoberort zählt die in Kraft befindliche Anlage. Ein älterer Suchtreffer aus Januar kann lediglich die historische Übergangsregel dokumentieren. Bei unmittelbarer Nähe muss auch die vom Tatbestand vorausgesetzte Verbindung zum Ort und die Verhältnismäßigkeit der Einzelkontrolle geprüft werden; keine eigenmächtige feste Meterzahl erfinden.</w:t>
      </w:r>
    </w:p>
    <w:p>
      <w:pPr>
        <w:pStyle w:val="Heading2"/>
      </w:pPr>
      <w:r>
        <w:t>1.4.3. Befragung und Erklärung auseinanderhalten</w:t>
      </w:r>
    </w:p>
    <w:p>
      <w:r>
        <w:t>Erfasse, ob eine Person freiwillig ein Gespräch führte, eine verbindliche Anordnung erhielt oder faktisch nicht gehen durfte. Der höfliche Ton einer Frage ist kein sicherer Beweis der Freiwilligkeit. Umgekehrt macht die bloße Anwesenheit einer uniformierten Person jede Auskunft noch nicht zu einem Zwangseingriff. Frage nach den genauen Worten, der Möglichkeit zu gehen und eventuellen Maßnahmen bei einer Verweigerung. Eine nachträgliche rechtliche Etikettierung durch den Mandanten wird nicht ungeprüft übernommen.</w:t>
      </w:r>
    </w:p>
    <w:p>
      <w:r>
        <w:t>Ein Erinnerungsschreiben sollte angeben, welche Aussagen sicher und welche nur sinngemäß erinnert werden. Es trennt eigene Wahrnehmung von einem späteren Polizeivermerk. Die Formulierung „Mir wurde nach meiner Erinnerung gesagt, ich müsse bis zur Abklärung bleiben“ ist belastbarer als eine erfundene wörtliche Drohung. Auch eine tatsächlich erfolgte freiwillige Auskunft bedeutet keine Einwilligung in jede spätere Datenverknüpfung.</w:t>
      </w:r>
    </w:p>
    <w:p>
      <w:pPr>
        <w:pStyle w:val="Heading2"/>
      </w:pPr>
      <w:r>
        <w:t>1.4.4. ED-Anordnung konkret angreifen</w:t>
      </w:r>
    </w:p>
    <w:p>
      <w:r>
        <w:t>Bei einer vorsorgenden ED-Anordnung unterscheide Fotos, Fingerabdrücke, Körpermaße und andere verlangte Daten. Ihre jeweilige Eignung und Notwendigkeit können auseinanderfallen. Eine rechtswidrige Anordnung wird nicht dadurch richtig, dass irgendeine frühere Ermittlung existiert. Alter, Abschluss, Art der Vorwürfe, Rückfallbezug und vorhandene Unterlagen gehören in die Prognose. Nicht zu verwendende oder überholte Erkenntnisse werden konkret benannt.</w:t>
      </w:r>
    </w:p>
    <w:p>
      <w:r>
        <w:t>Das erste Schreiben kann die bezeichnete Anordnung beanstanden, Akteneinsicht verlangen und um Absetzung des Termins bitten. Es muss aber klarstellen, ob nur ein Stillhaltewunsch vorliegt oder ein förmlicher Rechtsbehelf eingelegt wird. Eine Terminverschiebung bestätigt noch keine Aussetzung der Vollziehung. Ist ein Eilantrag nötig, werden Hauptsachegegenstand und Vollziehbarkeit geprüft, bevor der Antrag formuliert wird.</w:t>
      </w:r>
    </w:p>
    <w:p>
      <w:pPr>
        <w:pStyle w:val="Heading2"/>
      </w:pPr>
      <w:r>
        <w:t>1.4.5. Arbeit mit der Kiezfestakte</w:t>
      </w:r>
    </w:p>
    <w:p>
      <w:r>
        <w:t>Im Kiezfestfall ist zunächst nur eine Personalienaufnahme belegt. Erfinde keine erkennungsdienstliche Behandlung, keine Freiheitsentziehung und keinen Verdächtigenstatus. Der Dienstplan belegt die Helfertätigkeit, nicht sämtliche Hintergründe des polizeilichen Vorgangs. Die spätere falsche Verknüpfung gehört zusätzlich in die Datenroute. Frage nach einem tatsächlich vorhandenen ED-Bescheid nur, wenn der Mandant einen solchen erwähnt; halte den einfachen Datenfehler nicht durch eine vollständige Kontrollrechtsvorlesung auf.</w:t>
      </w:r>
    </w:p>
    <w:p>
      <w:pPr>
        <w:pStyle w:val="Heading1"/>
      </w:pPr>
      <w:r>
        <w:t>1.5. Platzverweis und Aufenthaltsverbot</w:t>
      </w:r>
    </w:p>
    <w:p>
      <w:pPr>
        <w:pStyle w:val="Heading2"/>
      </w:pPr>
      <w:r>
        <w:t>1.5.1. Prüfpfad und vollständiges Produkt</w:t>
      </w:r>
    </w:p>
    <w:p>
      <w:r>
        <w:t>Trenne § 29 Absatz 1 ASOG mit vorübergehender Wegweisung oder Betretensverbot zur Gefahrenabwehr von § 29 Absatz 2 mit polizeilichem Aufenthaltsverbot bei einer auf Tatsachen beruhenden Straftatenprognose. Ein längerfristiges Verbot wird nicht allein durch das Wort „Platzverweis“ zur einfachen kurzfristigen Maßnahme. Prüfe die gesetzlichen Grenzen, den bestimmbaren Bereich und die zum Gefahrenzweck erforderliche Dauer. Ein Hinweis auf zukünftiges Wohlverhalten ist nicht ohne Prüfung ein vollstreckbarer Verwaltungsakt.</w:t>
      </w:r>
    </w:p>
    <w:p>
      <w:r>
        <w:t>Lies eine schriftliche Bestätigung mit der vorausgegangenen mündlichen Anordnung zusammen. Sie kann nur dokumentieren, klarstellen oder eine neue Regelung enthalten. Unterscheide dafür Wortlaut, Adressat und objektiven Erklärungswert. Frage bei echter Unklarheit gezielt nach, ob die Behörde am nächsten Samstag ein verbindliches Verbot behauptet. Sichere dennoch eine möglicherweise bereits laufende Rechtsbehelfsfrist. Der Zugang der Bestätigung startet eine Frist gegen den alten mündlichen Verwaltungsakt nicht automatisch neu.</w:t>
      </w:r>
    </w:p>
    <w:p>
      <w:r>
        <w:t>Prüfe Gefahr und Verursachung zum damaligen Zeitpunkt sowie Fortdauer und aktuellen Regelungsbedarf. Ein ausgeschalteter Lautsprecher beseitigt nicht automatisch eine Wegblockade. Eine vorübergehende Behinderung rechtfertigt nicht automatisch die Fernhaltung von einem ganzen Stadtviertel. Die Alternative muss den Durchgang tatsächlich freihalten. Wohnzugang, Arbeit, Betreuung, Arztbesuch und Versammlungsteilnahme benötigen eine besonders konkrete Abwägung; gesetzliche Ausnahmen und Härten am aktuellen Tatbestand lesen.</w:t>
      </w:r>
    </w:p>
    <w:p>
      <w:r>
        <w:t>Ist das Verbot erledigt, prüfe Fortsetzungsfeststellungsinteresse statt reflexhaft § 80 Absatz 5 VwGO. BVerwG, Urteil vom 24.04.2024 – 6 C 2.22, Rn. 16–27, verlangt jenseits anerkannter anderer Interessen einen qualifizierten Grundrechtseingriff bei typischer kurzer Erledigung. Bloße Verärgerung oder selbst erzeugte Publizität genügt nicht. Eine konkret zu erwartende erneute Anordnung unter im Wesentlichen gleichen Umständen kann gesondert bedeutsam sein. Stelle nicht jedes nächste private Picknick als sichere Wiederholungsgefahr dar, wenn Ablauf und Grundlage sich verändert haben.</w:t>
      </w:r>
    </w:p>
    <w:p>
      <w:r>
        <w:t>Formuliere anhand des Ziels eine Klarstellungsanfrage, Abänderungsbegründung, einen fristwahrenden Widerspruch oder nötigen Eilantrag. Bereite einen tatsächlichen Ausweichort als praktische Option vor, ohne daraus einen Rechtsverzicht zu machen. Keine Empfehlung, ein ungeklärtes vollziehbares Verbot einfach zu missachten. Nach behördlicher Antwort den Gegenstand und die Fristennotiz fortschreiben.</w:t>
      </w:r>
    </w:p>
    <w:p>
      <w:pPr>
        <w:pStyle w:val="Heading2"/>
      </w:pPr>
      <w:r>
        <w:t>1.5.2. Der Gegenstand bestimmt den Antrag</w:t>
      </w:r>
    </w:p>
    <w:p>
      <w:r>
        <w:t>Schreibe eine Anordnung in verständlicher Sprache ab: Wer muss welchen Bereich ab wann bis wann verlassen und welche Handlung unterlassen? Wenn das nicht möglich ist, ist die Bestimmtheit selbst ein Thema. Eine Karte muss maßstäblich nicht perfekt sein, aber der Bereich muss für die betroffene Person hinreichend bestimmbar werden. Ein Bezug auf „die Umgebung“ oder „den bekannten Bereich“ verlangt Klärung, wenn Straßenkreuzungen, Hauseingänge oder Haltestellen betroffen sind.</w:t>
      </w:r>
    </w:p>
    <w:p>
      <w:r>
        <w:t>Trenne in einem Schreiben den erledigten Teil und den behaupteten Zukunftsteil. Für den ersten können Akteneinsicht und eine Erklärung der Rechtsschutzoptionen sinnvoll sein. Für den zweiten kommt es auf eine aktuelle verbindliche Regelung an. Ein Eilantrag, der nur einen bereits vergangenen Samstag nennt, schützt nicht automatisch das nächste Treffen. Umgekehrt begründet eine bloße vorsorgliche Bitte der Behörde nicht in jedem Fall ein anfechtbares Dauerverbot.</w:t>
      </w:r>
    </w:p>
    <w:p>
      <w:pPr>
        <w:pStyle w:val="Heading2"/>
      </w:pPr>
      <w:r>
        <w:t>1.5.3. Dauer ist kein Selbstläufer</w:t>
      </w:r>
    </w:p>
    <w:p>
      <w:r>
        <w:t>Der rechtmäßige Beginn einer Wegweisung entscheidet nicht über ihre gesamte Dauer. Ändert sich die Lage, prüfe das Ende des Schutzbedarfs. Ein Fest ist vorbei, ein Gegenstand entfernt oder ein Durchgang wieder frei. Die Behörde muss eine fortbestehende Gefahr und die Reichweite der Anordnung erklären können. Eine kurze Dauer ist allerdings nicht automatisch unbeachtlich: Zugang zur eigenen Wohnung, zu notwendigen Medikamenten oder zur Betreuung kann auch für wenige Stunden erheblich sein.</w:t>
      </w:r>
    </w:p>
    <w:p>
      <w:r>
        <w:t>Bei einer Gefahrenprognose wegen möglicher Straftaten werden konkrete frühere Tatsachen, zeitliche Nähe, aktueller Anlass und individuelles Verhalten getrennt dargestellt. Ein bloßer Kontakt zu einer Gruppe ist keine individuelle Tatprognose. Ebenso wenig führt eine einmalige unauffällige Woche zwingend zum Wegfall jeder belegten Gefahr. Das Schreiben bearbeitet die tatsächlichen Gründe des Bescheids und ersetzt sie nicht durch einen allgemeineren Lieblingsfall.</w:t>
      </w:r>
    </w:p>
    <w:p>
      <w:pPr>
        <w:pStyle w:val="Heading2"/>
      </w:pPr>
      <w:r>
        <w:t>1.5.4. Fragen mit einer Entscheidung verbinden</w:t>
      </w:r>
    </w:p>
    <w:p>
      <w:r>
        <w:t>Wenn der Mandant nur wissen will, ob ein neuer Aufenthalt möglich ist, frage nach dem vollständigen Text und der geplanten Nutzung. Bei einer laufenden Anordnung frage zusätzlich nach dem nächsten unverzichtbaren Anlass. Verlangt er ein Verfahren zur Rehabilitation, kläre die behauptete Außenwirkung und deren Fortbestand. Diese Fragen sind voneinander verschieden. Ein umfangreiches allgemeines Aufnahmeformular verhindert häufig die rechtzeitige Lösung des eigentlichen Problems.</w:t>
      </w:r>
    </w:p>
    <w:p>
      <w:r>
        <w:t>Kommt eine Antwort, dass kein künftiges Verbot besteht, erstelle eine kurze belastbare Mandantenmitteilung mit Datum und Bezug. Behalte die Bedingungen einer gewöhnlichen zulässigen Nutzung im Blick, ohne daraus eine vorbehaltlose behördliche Genehmigung des gesamten Treffens zu machen. Bleibt die Antwort aus, dokumentiere den tatsächlichen Stand und entscheide, ob ein Rechtsbehelf gegen einen hinreichend erkennbaren Verwaltungsakt oder zunächst eine konkrete Behördenklärung erforderlich ist.</w:t>
      </w:r>
    </w:p>
    <w:p>
      <w:pPr>
        <w:pStyle w:val="Heading2"/>
      </w:pPr>
      <w:r>
        <w:t>1.5.5. Musterkern für den Empfängertext</w:t>
      </w:r>
    </w:p>
    <w:p>
      <w:r>
        <w:t>Ein geeigneter Klärungstext lautet etwa: „Bitte teilen Sie verbindlich mit, ob Sie neben dem am 26. September beendeten Platzverweis eine derzeit fortwirkende Aufenthaltsbeschränkung gegenüber Frau Fink annehmen. Falls dies der Fall sein soll, bitten wir um vollständige Bezeichnung von Rechtsgrundlage, räumlichem Geltungsbereich, Dauer und den aktuell zugrunde gelegten Tatsachen. Das für den 10. Oktober angekündigte private Treffen soll vollständig außerhalb des befestigten Weges und ohne Lautsprecher stattfinden.“ Ergänze nur belegte Tatsachen und den tatsächlich gewünschten Rechtsschutz; das Beispiel ist kein automatischer Versandauftrag.</w:t>
      </w:r>
    </w:p>
    <w:p>
      <w:pPr>
        <w:pStyle w:val="Heading1"/>
      </w:pPr>
      <w:r>
        <w:t>1.6. Gewahrsam, Dauer und richterliche Kontrolle</w:t>
      </w:r>
    </w:p>
    <w:p>
      <w:pPr>
        <w:pStyle w:val="Heading2"/>
      </w:pPr>
      <w:r>
        <w:t>1.6.1. Prüfpfad und vollständiges Produkt</w:t>
      </w:r>
    </w:p>
    <w:p>
      <w:r>
        <w:t>Bei aktueller Freiheitsentziehung zuerst den Aufenthaltsort, Beginn und erreichbare anwaltliche Hilfe klären. Prüfe § 30 ASOG nach seinem konkreten Gewahrsamsgrund; eine Identitätsfeststellung nach § 21 ist nicht automatisch ein eigenständiger präventiver Unterbindungsgewahrsam. Art. 2 Absatz 2 Satz 2 und Art. 104 GG sowie die Berliner Freiheitsgarantien verlangen eine besonders strikte Grundlage, Erforderlichkeit und Verfahrenskontrolle. Eine praktische Verzögerung ist keine eigenständige Eingriffsbefugnis.</w:t>
      </w:r>
    </w:p>
    <w:p>
      <w:r>
        <w:t>Nach § 31 Absatz 1 ASOG muss die richterliche Entscheidung unverzüglich herbeigeführt werden; die gesetzlich eng begrenzte Ausnahme bei voraussichtlich vorherigem Wegfall des Grundes darf nicht durch pauschale Organisationsbehauptungen ersetzt werden. Erfrage dokumentierte Kontaktversuche, Zeitpunkt der Antragstellung und Prognose. Aus der äußersten verfassungsrechtlichen Grenze bis zum Ende des folgenden Tages folgt keine allgemeine erlaubte Wartezeit. Sobald der Grund entfällt, ist die Person nach § 33 unverzüglich zu entlassen.</w:t>
      </w:r>
    </w:p>
    <w:p>
      <w:r>
        <w:t>§ 33 Absatz 2 enthält für eine gerichtlich angeordnete Fortdauer besondere qualifizierte Voraussetzungen im Rahmen von § 30 Absatz 1 Nummer 2. Die äußersten Grenzen von sieben Tagen bei den dort bezeichneten terroristischen Straftaten beziehungsweise fünf Tagen in den anderen dort bezeichneten qualifizierten Fällen sind keine Standarddauer jedes Gewahrsams. Die Identitätsfeststellung ist nach § 33 Absatz 3 auf höchstens zwölf Stunden begrenzt und endet früher, wenn ihr Zweck erreicht ist. Jede Dauer muss im Einzelfall notwendig bleiben.</w:t>
      </w:r>
    </w:p>
    <w:p>
      <w:r>
        <w:t>Beachte § 31 Absatz 2: Wurde die Freiheitsentziehung vor einer richterlichen Entscheidung beendet, kann innerhalb eines Monats nach Beendigung die Feststellung der Rechtswidrigkeit bei berechtigtem Interesse beantragt werden. Diese Sonderfrist nicht mit einer allgemeinen Widerspruchsfrist ab Bekanntgabe verwechseln. Zuständigkeitszuweisung nach § 65 ASOG grundsätzlich Amtsgericht Tiergarten; Verfahren nach dortiger FamFG-Verweisung. Beschwerden nach § 31 Absatz 3 zum Landgericht Berlin II und Rechtsbeschwerde nur nach den gesetzlichen Voraussetzungen. Etwaige besondere richterliche Datenanordnungen gehören nicht schematisch in denselben Instanzenzug.</w:t>
      </w:r>
    </w:p>
    <w:p>
      <w:r>
        <w:t>Modalitäten wie Fesselung, Transport, Versorgung, Benachrichtigung und Kontakt zum Beistand nach § 32 und dem jeweils einschlägigen Recht gesondert erfassen. Der richtige Rechtsweg für Begleitmaßnahmen folgt nicht automatisch aus der Entscheidung über das Ob des Gewahrsams. BVerwG, Urteil vom 27.03.2024 – 6 C 1.22, Rn. 68–83, verlangt eine ernsthafte Aufklärung von Dauer und Umständen. Das Urteil betrifft Baden-Württemberg; dessen gerichtliche Zuständigkeit nicht nach Berlin übertragen.</w:t>
      </w:r>
    </w:p>
    <w:p>
      <w:r>
        <w:t>Liefere bei aktuellem Freiheitsentzug ein zeitkritisches, vollständig formuliertes Begehren zum zuständigen Gericht und eine knappe Handlungsnotiz. Bei erledigtem Vorgang lege Zeitleiste, Interesse und Sonderfrist dar. Versand erfolgt nur nach tatsächlicher Freigabe und über den zulässigen Kanal; behauptete Kontakte und richterliche Entscheidungen nur bei Beleg.</w:t>
      </w:r>
    </w:p>
    <w:p>
      <w:pPr>
        <w:pStyle w:val="Heading2"/>
      </w:pPr>
      <w:r>
        <w:t>1.6.2. Minuten, Stunden und getrennte Eingriffe</w:t>
      </w:r>
    </w:p>
    <w:p>
      <w:r>
        <w:t>Eine Zeitleiste muss unterscheiden, wann die Person erstmals tatsächlich nicht mehr gehen durfte, wann eine Verbringung begann, wann sie ankam und wann sie wirklich frei war. Der Verwaltungsvermerk „Entlassung angeordnet“ kann vor der tatsächlichen Öffnung des Raums liegen. Eine längere anschließende Fahrt gegen den Willen der Person kann weiter freiheitsrelevant sein. Sammle keine lediglich dekorativen Uhrzeiten; jede Zeit soll eine konkrete Dauer oder Verantwortlichkeit erläutern.</w:t>
      </w:r>
    </w:p>
    <w:p>
      <w:r>
        <w:t>Lass die betroffene Person Unsicherheiten benennen. Eine Handyzeit ist nur dann präzise, wenn das Gerät tatsächlich eingesehen werden konnte. Ein Wachbuch und ein persönliches Erinnerungsprotokoll können auseinanderfallen. Führe die Abweichung offen auf und beantrage die passende Aufklärung, statt den amtlichen Eintrag allein wegen seiner Form als wahr oder die persönliche Erinnerung allein wegen ihrer Nähe als unfehlbar zu behandeln.</w:t>
      </w:r>
    </w:p>
    <w:p>
      <w:pPr>
        <w:pStyle w:val="Heading2"/>
      </w:pPr>
      <w:r>
        <w:t>1.6.3. Richtervorbehalt in der Praxis prüfen</w:t>
      </w:r>
    </w:p>
    <w:p>
      <w:r>
        <w:t>Unverzüglichkeit bedeutet nicht beliebige Zweckmäßigkeit. Die Behörde muss ihre Abläufe so organisieren, dass richterliche Kontrolle real möglich wird. Frage deshalb konkret nach dem Zeitpunkt, zu dem der Gewahrsamsgrund feststand, dem bekannten Bereitschaftsdienst und den tatsächlichen Übermittlungen. Ob eine richterliche Entscheidung vor dem erwarteten Ende noch möglich war, ist anhand der damaligen Prognose und nicht durch nachträgliches Verschieben des Endzeitpunkts zu beurteilen.</w:t>
      </w:r>
    </w:p>
    <w:p>
      <w:r>
        <w:t>Gleichzeitig wird aus jedem erfolglosen Anruf nicht automatisch eine vorsätzliche Vereitelung richterlicher Kontrolle. Das gerichtliche Schreiben soll belegte organisatorische Defizite und offene Tatsachen benennen. Bei akuter Eile wird zunächst die Sicherung verlangt, die tatsächlich nötig ist: richterliche Prüfung, Entlassung bei weggefallenem Grund oder rechtmäßige Gestaltung der verbleibenden Zeit. Eine allgemeine Dienstaufsichtsbeschwerde ersetzt das nicht.</w:t>
      </w:r>
    </w:p>
    <w:p>
      <w:pPr>
        <w:pStyle w:val="Heading2"/>
      </w:pPr>
      <w:r>
        <w:t>1.6.4. Schutzbelange ohne unnötige Datensammlung</w:t>
      </w:r>
    </w:p>
    <w:p>
      <w:r>
        <w:t>Medizinische Angaben, Sprachbedarf und Kontaktpersonen werden nur im notwendigen Umfang aufgenommen. Es kann genügen, auf ein benötigtes Medikament, eine aktuelle ärztliche Anweisung oder einen Dolmetschbedarf hinzuweisen. Eine vollständige Krankengeschichte gehört nicht automatisch in eine frei zugängliche Anlage. Informiere die betroffene Person über den konkreten Empfänger und den erforderlichen Zweck. Bei unmittelbarer gesundheitlicher Gefahr haben tatsächliche Hilfe und erreichbare Stellen Vorrang vor der Fertigstellung eines langen Gutachtens.</w:t>
      </w:r>
    </w:p>
    <w:p>
      <w:r>
        <w:t>Eine geschützte Person muss nicht erst ihre gesamte Erinnerung in juristischen Kategorien erzählen. Frage verständlich: Konnten Sie gehen? Wer sagte, dass Sie bleiben müssen? Haben Sie um einen Anruf gebeten? Wurde eine richterliche Entscheidung gezeigt? Diese Antworten werden anschließend dem gesetzlichen Tatbestand zugeordnet. Der Einsatzleitfaden zur Durchführung von Gewahrsam ist nicht Gegenstand dieses Plugins.</w:t>
      </w:r>
    </w:p>
    <w:p>
      <w:pPr>
        <w:pStyle w:val="Heading2"/>
      </w:pPr>
      <w:r>
        <w:t>1.6.5. Nachträgliche Feststellung und Kosten</w:t>
      </w:r>
    </w:p>
    <w:p>
      <w:r>
        <w:t>Bei einer schon beendeten Freiheitsentziehung darf die Monatsfrist des § 31 Absatz 2 nicht hinter einer allgemeinen Akteneinsichtsanfrage verschwinden. Sichere den Beginn mit dem tatsächlichen Ende und prüfe Feiertage und Wochenenden nach dem anwendbaren Verfahrensrecht. Ein noch fehlender Einsatzbericht kann eine spätere Begründung erforderlich machen; er verhindert nicht zwingend ein hinreichend bestimmtes fristwahrendes Begehren.</w:t>
      </w:r>
    </w:p>
    <w:p>
      <w:r>
        <w:t>Ob Schadensersatz oder Entschädigung verlangt werden soll, ist ein weiterer Auftrag. § 65a ASOG weist Schadensausgleich und Entschädigung dem ordentlichen Rechtsweg zu, während die dort bezeichneten Aufwendungsersatzansprüche anders zugeordnet sind. Versprich keine automatische Geldzahlung allein wegen eines festgestellten Verfahrensfehlers. Schaden, Anspruchsgrundlage, Zurechnung und weitere Voraussetzungen werden separat geprüft. Die Person erhält zunächst das verlangte Ergebnis zur Freiheitsentziehung und eine klare Erläuterung verbleibender Möglichkeiten.</w:t>
      </w:r>
    </w:p>
    <w:p>
      <w:pPr>
        <w:pStyle w:val="Heading1"/>
      </w:pPr>
      <w:r>
        <w:t>1.7. Durchsuchung und Schutz der Wohnung</w:t>
      </w:r>
    </w:p>
    <w:p>
      <w:pPr>
        <w:pStyle w:val="Heading2"/>
      </w:pPr>
      <w:r>
        <w:t>1.7.1. Prüfpfad und vollständiges Produkt</w:t>
      </w:r>
    </w:p>
    <w:p>
      <w:r>
        <w:t>Ordne den Eingriff anhand tatsächlicher Handlung und Zweck ein. Personendurchsuchung nach § 34, Sachendurchsuchung nach § 35 sowie Betreten und Durchsuchen von Wohnungen nach §§ 36 und 37 ASOG sind verschiedene Befugnisse. Eine Durchsuchung nach Strafprozessrecht wird nicht als ASOG-Fall umetikettiert, nur weil Landespolizisten handelten. Für besonders geschützte Daten, intime Bereiche und digitale Geräte sind Reichweite und gegebenenfalls weitere Rechtsgrundlagen gesondert zu prüfen.</w:t>
      </w:r>
    </w:p>
    <w:p>
      <w:r>
        <w:t>Der Wohnungsbegriff des § 36 Absatz 1 umfasst die dort genannten Wohn-, Neben-, Arbeits-, Betriebs- und Geschäftsräume sowie anderes befriedetes Besitztum. Der grundrechtliche Schutz hängt nicht allein an Eigentum oder Mietvertrag. BVerfG, Beschluss vom 30.09.2025 – 2 BvR 460/25, Rn. 27–30, erfasst auch zugewiesenen Rückzugsraum in einer Gemeinschaftsunterkunft. Öffentlich zugängliche Betriebsräume können nach § 36 Absatz 5 während der einschlägigen Zeiten unter eigenen Voraussetzungen betreten werden; das ist keine umfassende Durchsuchungserlaubnis für jedes Hinterzimmer.</w:t>
      </w:r>
    </w:p>
    <w:p>
      <w:r>
        <w:t>Prüfe Suchzweck und Kenntnisstand vor Beginn. Nach 2 BvR 460/25, Rn. 34–46, kann das zielgerichtete Aufspüren einer Person bereits eine Durchsuchung sein; eine nach außen besonders sichtbare Suchbewegung ist nicht stets erforderlich. Es kommt nicht zufällig darauf an, ob die Person direkt hinter der geöffneten Tür liegt. Bestand vor Beginn eine sichere Kenntnis des konkreten Aufenthaltsorts oder sollte dieser erst ergründet werden? Die spezielle aufenthaltsrechtliche Grundlage des entschiedenen Falls bleibt von der verfassungsrechtlichen Begriffsbildung getrennt.</w:t>
      </w:r>
    </w:p>
    <w:p>
      <w:r>
        <w:t>§ 37 Absatz 1 ASOG sieht grundsätzlich gerichtliche Anordnung vor; Gefahr im Verzug ist anhand konkreter Tatsachen zu prüfen und darf nicht durch selbst geschaffene Verzögerung herbeigeführt werden. Zuständiges Gericht nach § 65 prüfen. Beschluss, räumlichen Umfang, Zweck, zeitliche Grenzen und tatsächliche Durchführung miteinander abgleichen. Die Einwilligung eines Dritten ersetzt nicht selbstverständlich die Rechte aller Mitbewohner. Bloßes Nachgeben unter einer angekündigten Zwangsmaßnahme nicht ohne Weiteres als freie Einwilligung behandeln.</w:t>
      </w:r>
    </w:p>
    <w:p>
      <w:r>
        <w:t>Erfasse Anwesenheits-, Dokumentations- und Bescheinigungserfordernisse sowie Nachtzeitschutz anhand des aktuellen Gesetzestextes. Nimm keine Gegenstände aus dem Protokoll heraus, weil sie den Mandanten belasten; korrigiere Fehler offen. Die Herausgabe sichergestellter Sachen ist eine eigenständige Frage. OVG Berlin-Brandenburg, Urteil vom 24.03.2026 – OVG 3 B 20/25, Gründe 1 und 2, zeigt: Die Rechtswidrigkeit einer Durchsuchung und die Reichweite der Aufhebung bedeuten nicht automatisch neue Sachentscheidung über jeden rechtskräftigen Begleitstreit.</w:t>
      </w:r>
    </w:p>
    <w:p>
      <w:pPr>
        <w:pStyle w:val="Heading2"/>
      </w:pPr>
      <w:r>
        <w:t>1.7.2. Räume genau bestimmen</w:t>
      </w:r>
    </w:p>
    <w:p>
      <w:r>
        <w:t>Fertige eine einfache Beschreibung der betroffenen Räume an: ausschließlich privat genutzt, gemeinschaftlich genutzt, frei für Kunden zugänglich oder nur Beschäftigten zugänglich. Der Zugang durch einen Hauseingang beantwortet nicht den Schutz jedes einzelnen Raums. Ein Schlüssel einer Verwaltung beweist nicht, dass sie in jede staatliche Maßnahme für die Bewohner einwilligen darf. Ebenso macht ein Mietrückstand einen Raum nicht grundrechtsfrei.</w:t>
      </w:r>
    </w:p>
    <w:p>
      <w:r>
        <w:t>Eine Skizze hilft, wenn sie tatsächliche Grenzen erklärt. Sie soll keine Lageinformationen enthalten, die für den Streit ohne Bedeutung sind. Der Mandant kann etwa den beschrittenen Weg und das betroffene Zimmer markieren, ohne sämtliche Sicherheitsvorrichtungen des Hauses abzubilden. Das Plugin liefert Rechtsschutz und keine Anleitung zum Eindringen oder zur Umgehung einer Durchsuchung.</w:t>
      </w:r>
    </w:p>
    <w:p>
      <w:pPr>
        <w:pStyle w:val="Heading2"/>
      </w:pPr>
      <w:r>
        <w:t>1.7.3. Beschluss und Vollzug nicht vermischen</w:t>
      </w:r>
    </w:p>
    <w:p>
      <w:r>
        <w:t>Ein richterlicher Beschluss kann formell vorhanden sein und dennoch die tatsächlich durchsuchten Räume nicht erfassen. Umgekehrt wird ein rechtmäßiger Beschluss nicht allein durch eine rechtswidrige einzelne Vollzugshandlung rückwirkend nichtig. Stelle daher den Antrag gegen den passenden Gegenstand und zum passenden Gericht. Frage nach dem Beschluss einschließlich Anlagen, seinem Zeitpunkt und dem Zeitpunkt, zu dem er vorgelegt wurde. Eine mündliche Aussage „Es gibt einen Beschluss“ ersetzt dessen Prüfung nicht.</w:t>
      </w:r>
    </w:p>
    <w:p>
      <w:r>
        <w:t>Nach einer Überraschungsmaßnahme bleiben oft nur Erinnerungen und ein kurzes Protokoll. Bitte zeitnah um eine geordnete Ergänzung: Wer war anwesend? Welche Räume wurden betreten? Welche Gegenstände wurden angesehen, geöffnet oder mitgenommen? Wurde eine Unterschrift geleistet und was stand darüber? Es ist unnötig, jede Bewegung nachträglich mit hundertprozentiger Sicherheit zu rekonstruieren. Unklarheiten werden als solche kenntlich gemacht.</w:t>
      </w:r>
    </w:p>
    <w:p>
      <w:pPr>
        <w:pStyle w:val="Heading2"/>
      </w:pPr>
      <w:r>
        <w:t>1.7.4. Digitale Sachen und Daten unterscheiden</w:t>
      </w:r>
    </w:p>
    <w:p>
      <w:r>
        <w:t>Die Wegnahme eines Telefons, die Durchsicht gespeicherter Inhalte, eine Kopie des Speichers und die spätere Verarbeitung sind rechtlich verschiedene Vorgänge. Aus der Befugnis zur Sicherstellung folgt nicht automatisch ein unbegrenztes Recht zur Datenanalyse. Erfasse Speicherumfang, beteiligte Stellen, Zweck und vorhandene Anordnung. Bei Daten von Mandanten, Patienten oder anderen Geheimnisträgern sind zusätzliche Schutzvorschriften und Verfahrensgarantien zu prüfen.</w:t>
      </w:r>
    </w:p>
    <w:p>
      <w:r>
        <w:t>Entwerfe ein begrenztes Sicherungs- oder Auskunftsbegehren, wenn unklar ist, ob die Daten bereits kopiert wurden. Es kann verlangen, den Verarbeitungsstand und die Rechtsgrundlage mitzuteilen, unzulässige weitere Verarbeitung zu unterlassen und rechtsschutzrelevante Protokolle zu erhalten. Ein pauschales Vernichten aller Spuren wäre widersprüchlich, wenn dieselben Spuren für den Nachweis des Eingriffs gebraucht werden.</w:t>
      </w:r>
    </w:p>
    <w:p>
      <w:pPr>
        <w:pStyle w:val="Heading2"/>
      </w:pPr>
      <w:r>
        <w:t>1.7.5. Konkreter Rechtsprechungstransfer</w:t>
      </w:r>
    </w:p>
    <w:p>
      <w:r>
        <w:t>Aus 2 BvR 460/25 folgt eine sorgfältige vorausschauende Betrachtung des Suchzwecks. Daraus folgt nicht, dass jedes Betreten eines öffentlich geöffneten Restaurants eine Wohnungsdurchsuchung ist. Der Geschäftsbetrieb kann besonderen Nachschau- und Kontrollbefugnissen unterliegen. Für die Prüfung wird daher zuerst die einschlägige Spezialnorm, der räumliche Bereich und die Tageszeit ermittelt. Ein Restaurant-Hinterzimmer mit privater Wohnnutzung kann anders zu behandeln sein als der geöffnete Gastraum.</w:t>
      </w:r>
    </w:p>
    <w:p>
      <w:r>
        <w:t>Die Entscheidung OVG 3 B 20/25 ist als aktueller prozessualer Anker wichtig, weil der Mandant häufig eine erfolgreiche Verfassungsbeschwerde als vollständigen Neustart sämtlicher Ansprüche versteht. Lies Tenor, Annahmeumfang und Entscheidungsgründe zusammen. Schreibe in der Mandantenmitteilung ausdrücklich, welche Maßnahme noch überprüfbar ist und welche durch eine frühere Rechtskraft begrenzt sein kann. Dies verhindert einen aussichtslosen zweiten Antrag ohne die erfolgreiche Teilentscheidung kleinzureden.</w:t>
      </w:r>
    </w:p>
    <w:p>
      <w:pPr>
        <w:pStyle w:val="Heading1"/>
      </w:pPr>
      <w:r>
        <w:t>1.8. Sicherstellung, Verwahrung und Herausgabe</w:t>
      </w:r>
    </w:p>
    <w:p>
      <w:pPr>
        <w:pStyle w:val="Heading2"/>
      </w:pPr>
      <w:r>
        <w:t>1.8.1. Prüfpfad und vollständiges Produkt</w:t>
      </w:r>
    </w:p>
    <w:p>
      <w:r>
        <w:t>Unterscheide freiwillige Aufbewahrung, präventive Sicherstellung nach § 38 ASOG, strafprozessuale Sicherstellung/Beschlagnahme und andere spezialgesetzliche Maßnahmen. Die gleiche Verwahrstelle kann unterschiedliche Rechtsverhältnisse betreuen. Ermittele Gegenstand, Zeitpunkt, Schutzgrund und den aktuell fortbestehenden Anlass. Eine ursprünglich tragfähige Anscheinsgefahr rechtfertigt keine unbegrenzte Verwahrung nach ihrer Aufklärung.</w:t>
      </w:r>
    </w:p>
    <w:p>
      <w:r>
        <w:t>§ 38 Absatz 1 enthält unterschiedliche Sicherstellungsgründe. Prüfe genau, ob eine gegenwärtige Gefahr abgewehrt, eine berechtigte Person geschützt oder eine andere gesetzliche Fallgruppe verwirklicht werden soll. Absatz 2 ordnet ein Veräußerungsverbot im Sinne des § 136 BGB an; dies ist kein Eigentumsübergang an den Staat. Absatz 3 erlaubt der Polizei unter den dortigen Voraussetzungen auch die Sicherstellung von Forderungen und anderen Vermögensrechten. Physische Sache, Anspruch und Erlös nicht gleichsetzen.</w:t>
      </w:r>
    </w:p>
    <w:p>
      <w:r>
        <w:t>§ 39 regelt Verwahrung und Bescheinigung; § 40 Verwertung, Unbrauchbarmachung oder Vernichtung; § 41 Herausgabe und Kosten. Prüfe Inventar, Erhaltungszustand, benannte Empfänger und tatsächlichen Rückgabeweg. Nach § 41 Absatz 1 ist grundsätzlich an die Person herauszugeben, bei der sichergestellt wurde; ist dies nicht möglich, kommt ein glaubhaft Berechtigter in Betracht. Die heutigen gesetzlichen Gründe zur Verweigerung bei fehlender Berechtigung oder erneutem Sicherstellungsbedarf ausdrücklich mitlesen. Der Eigentumsbeleg allein ersetzt nicht jede Klärung, aber er darf auch nicht reflexhaft als einzige Rückgabevoraussetzung gefordert werden.</w:t>
      </w:r>
    </w:p>
    <w:p>
      <w:r>
        <w:t>OVG Berlin-Brandenburg, Urteil vom 15.11.2018 – OVG 1 B 2.18, Leitsätze 1/2, erläutert die Orientierung am früheren Gewahrsam im brandenburgischen Recht. Nutze den Gedanken nur nach Abgleich mit dem heutigen Berliner § 41. OVG Berlin-Brandenburg, Beschluss vom 25.04.2018 – OVG 12 S 18.18, Gründe zur strafprozessualen Freigabe, verlangt eine neue originäre präventive Grundlage statt bloßer Analogie, wenn nach Ende des Strafverfahrens weiter verwahrt werden soll. Der dort prozessual bindend gewordene VG-Rechtsweg ist kein allgemeiner Wegweiser für StPO-Rückgaben.</w:t>
      </w:r>
    </w:p>
    <w:p>
      <w:r>
        <w:t>Kosten stehen im aktuellen § 41 Absatz 4, nicht schematisch im alten Absatz 3. Trenne Transport, Verwahrung, Verwaltungsgebühr und private Ersatzkosten. Ein Hinweis „Kosten können entstehen“ ist noch kein bezifferter Leistungsbescheid. Verwertungserlös nach Absatz 3, Forderungsregelungen nach Absatz 2 und Rückgabe der ursprünglichen Sache nach Absatz 1 benötigen getrennte Begehren. Bei angekündigter Vernichtung rechtzeitig Sicherung prüfen; ein späterer Anspruch auf Reste ist nicht selbstverständlich. OVG Berlin-Brandenburg, Beschluss vom 23.07.2026 – OVG 6 S 181/26, Gründe 1/2, betrifft diese besondere Lage nach rechtskräftiger Vernichtungsanordnung.</w:t>
      </w:r>
    </w:p>
    <w:p>
      <w:pPr>
        <w:pStyle w:val="Heading2"/>
      </w:pPr>
      <w:r>
        <w:t>1.8.2. Die Verwahrung täglich rechtfertigen</w:t>
      </w:r>
    </w:p>
    <w:p>
      <w:r>
        <w:t>Lege zwei Zeitpunkte auseinander: Rechtmäßigkeit der ursprünglichen Sicherstellung und aktueller Anspruch auf Herausgabe. Wenn bei einer Kontrolle ein Rad einer Verlustmeldung entsprach und die Berechtigung nicht geklärt werden konnte, kann eine anfängliche Schutzlage plausibel sein. Nach Abgleich der Rahmennummer und Eingang der Unterlagen muss jedoch neu bewertet werden, ob dieser Grund noch trägt. Der Rückgabeantrag muss deshalb nicht zwingend behaupten, der gesamte Vorgang sei von Anfang an offensichtlich rechtswidrig.</w:t>
      </w:r>
    </w:p>
    <w:p>
      <w:r>
        <w:t>Dokumentiere den Eingang jedes entscheidenden Nachweises. Die am Donnerstag versandte Kaufurkunde, der am Dienstag nachgereichte Werkstattbefund und die am Freitag vorliegende Erklärung der Entleiherin können unterschiedliche Erkenntnisstufen markieren. Ein Schaden wegen verzögerter Herausgabe setzt weitere Prüfungen voraus; bloßes Fortschreiben von Tagen in einer Tabelle begründet den Anspruch nicht. Die Tabelle liefert den tatsächlichen Zeitraum und mögliche Kosten, die rechtliche Bewertung folgt gesondert.</w:t>
      </w:r>
    </w:p>
    <w:p>
      <w:pPr>
        <w:pStyle w:val="Heading2"/>
      </w:pPr>
      <w:r>
        <w:t>1.8.3. Empfänger und Übergabe bestimmen</w:t>
      </w:r>
    </w:p>
    <w:p>
      <w:r>
        <w:t>Bei einem verliehenen Gegenstand sind Eigentümer und frühere Gewahrsamsinhaberin nicht identisch. Formuliere eine praktische Lösung, etwa bestätigte direkte Ausgabe an den Eigentümer mit Einverständnis der Entleiherin, ohne den gesetzlichen Ausgangspunkt zu verwischen. Ist das Einverständnis noch nicht versandt, behaupte keinen Eingang. Benenne eine Vollmacht nur, wenn der Text sie tatsächlich enthält. Eine private Bestätigung kann ein Beweismittel sein, ersetzt aber nicht automatisch jeden erforderlichen Identitätsabgleich.</w:t>
      </w:r>
    </w:p>
    <w:p>
      <w:r>
        <w:t>Für die Übergabe werden Gegenstand, Zubehör, Termin, Ort und Zustand festgehalten. Eine Inventarliste zählt Schlüssel und Zubehör einzeln, damit die Rückgabe nicht nur das Hauptobjekt umfasst. Bei Schäden vor und nach Verwahrung trenne vorhandene Gebrauchsspuren von neu behaupteten Veränderungen. Unterschreibe keine pauschale Erledigungs- oder Verzichtserklärung ohne Auftrag. Eine Quittung über den tatsächlichen Empfang ist etwas anderes als ein materieller Anspruchsverzicht.</w:t>
      </w:r>
    </w:p>
    <w:p>
      <w:pPr>
        <w:pStyle w:val="Heading2"/>
      </w:pPr>
      <w:r>
        <w:t>1.8.4. Verwertung und drohender Verlust</w:t>
      </w:r>
    </w:p>
    <w:p>
      <w:r>
        <w:t>Eine Verwertungsankündigung muss als eigener Schritt gelesen werden. Prüfe Voraussetzungen, Anhörung, Bekanntgabe, Frist, erforderliche Anordnung und den aktuellen Vollzugsstand. Ein erfolgversprechender Herausgabeanspruch kann durch tatsächliche Verwertung oder Vermischung praktisch verändert werden. Dann ist rechtzeitiger Eilrechtsschutz wichtiger als ein besonders langer späterer Schadensvermerk. Beantrage nur die Sicherung, die den konkreten Verlust verhindert, und erkläre die dringenden Tatsachen.</w:t>
      </w:r>
    </w:p>
    <w:p>
      <w:r>
        <w:t>OVG 6 S 181/26 bestätigt nicht, dass die Polizei Sachen nach Belieben zerstören darf. Im entschiedenen Verfahren war die Vernichtungsanordnung bereits rechtskräftig; gestritten wurde nur noch über Überreste. Der Senat stellte unter anderem auf die fehlende dargelegte Anspruchsgrundlage und fehlende Identifizierbarkeit ab. Wer das Urteil für einen noch unversehrten und identifizierten Gegenstand nutzt, muss gerade diesen Unterschied benennen. Der praktische Schluss ist, den passenden Gegenstand frühzeitig zu sichern.</w:t>
      </w:r>
    </w:p>
    <w:p>
      <w:pPr>
        <w:pStyle w:val="Heading2"/>
      </w:pPr>
      <w:r>
        <w:t>1.8.5. Herausgabeschreiben vollständig liefern</w:t>
      </w:r>
    </w:p>
    <w:p>
      <w:r>
        <w:t>Ein Antrag soll die Sache eindeutig bezeichnen und ein tatsächlich umsetzbares Begehren enthalten: „Wir bitten um Freigabe und Terminbestätigung zur Ausgabe des blauen Lastenrades Hafenrad Kiste Zwei, Rahmennummer HR-2024-773, einschließlich zweier Schlüssel und des gelben Transportgurts. Die Erklärung der früheren Gewahrsamsinhaberin ist beigefügt. Bitte teilen Sie mit, auf welche konkreten Tatsachen eine weitere Verwahrung nach dem bestätigten Nummernabgleich gestützt wird.“ Ergänze einen angemessenen Rückmeldetermin mit tatsächlichem Anlass. Aus einer selbst gesetzten Antwortfrist wird keine gesetzliche Gerichtsfrist.</w:t>
      </w:r>
    </w:p>
    <w:p>
      <w:r>
        <w:t>Sind Kosten nur angekündigt, bitte um getrennte Bezifferung und Rechtsgrundlage. Ein Widerspruch gegen einen noch gar nicht existierenden Kostenbescheid ist kein sinnvoller Standard. Bei tatsächlich ergangenem Bescheid hingegen werden Schuldnerauswahl, Maßnahme, Dauer, Gebührenposition und Rechtsbehelfsbelehrung geprüft. Der konkrete Betrag und sein Eingang gehören in die Akte.</w:t>
      </w:r>
    </w:p>
    <w:p>
      <w:pPr>
        <w:pStyle w:val="Heading1"/>
      </w:pPr>
      <w:r>
        <w:t>1.9. Polizeidaten, Auskunft und Korrektur</w:t>
      </w:r>
    </w:p>
    <w:p>
      <w:pPr>
        <w:pStyle w:val="Heading2"/>
      </w:pPr>
      <w:r>
        <w:t>1.9.1. Prüfpfad und vollständiges Produkt</w:t>
      </w:r>
    </w:p>
    <w:p>
      <w:r>
        <w:t>Beginne mit der tatsächlichen Verarbeitung und ihrem Zweck. Für Verarbeitungen zu Zwecken des § 30 BlnDSG gelten die dafür bestimmten Berliner Regeln einschließlich der ASOG-Spezialvorschriften; nicht reflexhaft DSGVO-Artikel verwenden. § 50 Absatz 1 ASOG verweist für diesen Bereich auf §§ 41 und 43 BlnDSG in Verbindung mit den bezeichneten ASOG-Absätzen. Außerhalb dieses Bereichs sind insbesondere Art. 13 bis 15 DSGVO mit den einschlägigen ASOG- und BlnDSG-Ergänzungen zu prüfen. Dieselbe Behörde kann je nach Tätigkeit unterschiedlichen Regimen unterliegen.</w:t>
      </w:r>
    </w:p>
    <w:p>
      <w:r>
        <w:t>Trenne Auskunft über gespeicherte eigene Daten, Akteneinsicht in ein Verwaltungsverfahren, Informationszugang und strafprozessuale Akteneinsicht. § 6 VwVfG BE ist vor einem bloßen Verweis auf § 29 Bundes-VwVfG zu prüfen; der Berliner Anspruch und seine Schutzgrenzen sind eigenständig. Ein Auskunftsantrag ist kein universelles Recht auf vollständige fremde Vorgänge oder Geheimnisse Dritter. Bei anhängigem strafrechtlichem Ermittlungsverfahren verlangt § 50 Absatz 4 ASOG vor Auskunft die Zustimmung der Staatsanwaltschaft; dies ersetzt nicht die Prüfung der übrigen Voraussetzungen.</w:t>
      </w:r>
    </w:p>
    <w:p>
      <w:r>
        <w:t>§ 48 ASOG und die für §-30-Zwecke ergänzend einschlägigen §§ 44 und 61 BlnDSG von § 48a ASOG für außerhalb liegende Verarbeitungen unterscheiden. Im zweiten Bereich sind Art. 16 bis 19 DSGVO und § 25 BlnDSG mitzuprüfen. Eine fehlerhafte Personenverknüpfung, ein falsches Geburtsdatum, eine korrekt wiedergegebene fremde Aussage und eine behördliche Bewertung sind nicht dasselbe. § 48a Absatz 2 unterscheidet insbesondere Richtigkeit der Wiedergabe von Aussagen/Bewertungen und deren Inhalt; bleibt die Richtigkeit ungeklärt, kommt Einschränkung statt behaupteter bereits abschließender Berichtigung in Betracht.</w:t>
      </w:r>
    </w:p>
    <w:p>
      <w:r>
        <w:t>Formuliere den Fehler feldbezogen und mit belastbarem Gegenbeleg. Verlange keine Daten über den unbekannten Namensvetter. Begründe, warum gerade die Verbindung zum eigenen Datensatz überprüft und gegebenenfalls berichtigt oder eingeschränkt werden soll. Ein Hinweis „Beanstandung registriert“ bestätigt noch keine technische Verarbeitungseinschränkung. Erfrage ausdrücklich Status, Umfang, Empfängerbenachrichtigung und verbleibende Verwendung, soweit rechtlich möglich.</w:t>
      </w:r>
    </w:p>
    <w:p>
      <w:r>
        <w:t>BVerfG, Urteil vom 01.10.2024 – 1 BvR 1160/19, Rn. 132–153 und 156–193, unterscheidet Zweckerreichung, Zweckänderung und vorsorgende Speicherung. Eine Prüffrist ist keine pauschale Mindestspeicherfrist. Ein lange zurückliegender Verdacht ersetzt keine aktuelle tragfähige Speicherprognose. Der BKAG-Tenor ist jedoch keine automatische Aufhebung des ASOG. BVerfG, Beschluss vom 14.11.2024 – 1 BvL 3/22, Rn. 87–107, und BVerwG, Urteil vom 02.12.2025 – 6 C 1.25, Rn. 11–21, verlangen bei kombinierter heimlicher Erhebung genaue Eingriffsschwellen und Zeitbezug; die NRW-Übergangsfrist wird nicht als Berlin-Recht fortgeschrieben.</w:t>
      </w:r>
    </w:p>
    <w:p>
      <w:r>
        <w:t>Liefere einen vollständigen Antrag mit voneinander unterscheidbaren Begehren und minimiertem Identitätsnachweis. Sichere rechtsschutzrelevante Protokolle, statt ungeprüft ihre Vernichtung zu fordern. Prüfe Beschwerde zur Datenschutzaufsicht und gerichtlichen Rechtsschutz nach tatsächlicher Ablehnung oder fortdauernder konkreter Beeinträchtigung. Behördenkontakt, Identitätsübermittlung und Versand nur im autorisierten Umfang.</w:t>
      </w:r>
    </w:p>
    <w:p>
      <w:pPr>
        <w:pStyle w:val="Heading2"/>
      </w:pPr>
      <w:r>
        <w:t>1.9.2. Ein Datensatz ist keine fertige Wahrheit</w:t>
      </w:r>
    </w:p>
    <w:p>
      <w:r>
        <w:t>Lies Feldbezeichnungen und Beziehungen. Eine Grunddatentabelle kann richtig sein, während eine Verknüpfung zu einem fremden Ereignis falsch ist. Ein Ereignis kann korrekt dokumentiert, aber unter falscher Rolle gespeichert sein. Die Rollen Beschuldigter, Zeuge, Hinweisgeber, Kontaktperson und unbeteiligter Dritter dürfen nicht beliebig austauschbar verwendet werden. Frage nach der konkreten Kategorie und ihrer Herkunft, wenn diese für Belastung und weitere Speicherung wesentlich ist.</w:t>
      </w:r>
    </w:p>
    <w:p>
      <w:r>
        <w:t>Übertrage Angaben nicht ungeprüft zwischen Dateien. Eine Abschrift einer Auskunft soll das Original und die spätere Korrektur unterscheidbar lassen. In einer Arbeitstabelle kann ein Feld als „bestritten“ markiert werden; daraus folgt noch keine amtliche Änderung. Halte getrennt fest, was beantragt, bestätigt, tatsächlich umgesetzt oder weiterhin offen ist. So lässt sich nach einer Antwort gezielt fortsetzen, statt immer wieder den identischen Gesamtantrag zu senden.</w:t>
      </w:r>
    </w:p>
    <w:p>
      <w:pPr>
        <w:pStyle w:val="Heading2"/>
      </w:pPr>
      <w:r>
        <w:t>1.9.3. Auskunft sinnvoll begrenzen</w:t>
      </w:r>
    </w:p>
    <w:p>
      <w:r>
        <w:t>Ein aussagekräftiger Antrag nennt Anlass, identifizierbaren Vorgang und die konkret verlangten Angaben. Er fragt nach eigenen Daten, Verarbeitungszwecken, Herkunft, Empfängern und maßgeblichen Speicherentscheidungen in dem vom jeweiligen Regime eröffneten Umfang. Er verlangt keine unzulässige Offenlegung interner Sicherheitsdetails oder fremder höchstpersönlicher Informationen. Bei einer Teilverweigerung wird geprüft, welche tragfähige Begründung, Überprüfbarkeit und Auskunft über Rechte vorgesehen sind.</w:t>
      </w:r>
    </w:p>
    <w:p>
      <w:r>
        <w:t>Die Identität muss verlässlich, aber datensparsam geklärt werden. Eine pauschale ungeschwärzte Ausweiskopie an jede beliebige Kontaktadresse ist kein Standard. Frage nach einem geeigneten Nachweisweg und dem notwendigen Umfang. Ein persönlicher Termin kann sinnvoll, aber nicht automatisch die einzige rechtmäßige Möglichkeit sein. Das Schreiben erklärt kooperative Bereitschaft, ohne in eine allgemeine Einwilligung zu zusätzlicher Verarbeitung umzuschlagen.</w:t>
      </w:r>
    </w:p>
    <w:p>
      <w:pPr>
        <w:pStyle w:val="Heading2"/>
      </w:pPr>
      <w:r>
        <w:t>1.9.4. Berichtigung, Löschung und Beweiserhalt</w:t>
      </w:r>
    </w:p>
    <w:p>
      <w:r>
        <w:t>Bei unrichtigen Identitätsdaten steht Berichtigung im Vordergrund. Bei unzulässiger oder nicht mehr erforderlicher Verarbeitung kommt Löschung in Betracht. Wenn die Richtigkeit nicht abschließend geklärt werden kann oder ein gesetzlich geschützter weiterer Zweck entgegensteht, ist die gesetzliche Einschränkung zu prüfen. Diese Auswahl wird begründet; ein dreifacher undifferenzierter Antrag „berichtigen, sperren und alles löschen“ kann widersprüchlich sein.</w:t>
      </w:r>
    </w:p>
    <w:p>
      <w:r>
        <w:t>Achte auf den Unterschied zwischen Ereignisdokumentation und Such- beziehungsweise Verbundverwendung. Ein rechtsschutzrelevantes Protokoll soll unter Umständen erhalten bleiben, während eine falsche Suchverknüpfung nicht weiter eingesetzt werden darf. Eine vollständige Löschung des gesamten Vorgangs kann den Nachweis des Fehlers erschweren. Das Begehren kann deshalb differenziert eine Einschränkung der streitigen Nutzung, eine Berichtigung der Zuordnung und die Erhaltung der für die Überprüfung notwendigen Dokumentation verlangen, soweit das anwendbare Recht dies vorsieht.</w:t>
      </w:r>
    </w:p>
    <w:p>
      <w:pPr>
        <w:pStyle w:val="Heading2"/>
      </w:pPr>
      <w:r>
        <w:t>1.9.5. Gesetzesänderungen und Altbestände</w:t>
      </w:r>
    </w:p>
    <w:p>
      <w:r>
        <w:t>Die Reform vom 11. Dezember 2025 hat Datenregeln neu geordnet. § 69 enthält Übergänge, darunter den Beginn einer Zweijahresfrist für bestimmte Altbestände ab dem 24. Dezember 2025. Dieser Spezialbeginn ist nicht auf alle polizeilichen Daten übertragbar. Prüfe Erhebungsdatum, Zweck, Kennzeichnung und konkreten Speichertatbestand. Der für eine alte Maßnahme geltende Rechtsstand kann vom Rechtsstand für eine heutige weitere Verarbeitung abweichen.</w:t>
      </w:r>
    </w:p>
    <w:p>
      <w:r>
        <w:t>Die Dateirichtlinien von Februar 2026 können Organisationsfragen und Dokumentationspflichten erläutern. Sie ersetzen keine gesetzliche Erlaubnis. Wenn eine Datenbank einen internen Prüftermin 2028 ausweist, frage nach der zugrunde liegenden Regel und einer zwischenzeitlichen Erforderlichkeitsprüfung. Das Bundesverfassungsgericht betont den möglichen Bedeutungsverlust alter Prognosen. Daraus folgt eine individuelle Kontrolle, nicht die freie Erfindung einer einheitlichen Löschfrist.</w:t>
      </w:r>
    </w:p>
    <w:p>
      <w:pPr>
        <w:pStyle w:val="Heading2"/>
      </w:pPr>
      <w:r>
        <w:t>1.9.6. Anwendung auf Nuri Demirs Akte</w:t>
      </w:r>
    </w:p>
    <w:p>
      <w:r>
        <w:t>Die Auskunft nennt ein richtiges Geburtsdatum in den Grunddaten und ein anderes in LM-24-807. Der Dienstplan für 2026 widerlegt keinen Vorgang aus 2024. Der relevante Ansatz ist der Identitätsabgleich, nicht ein behauptetes Alibi für alle denkbaren Ereignisse. Die erste Behördenantwort bestätigt nur einen Bearbeitungshinweis. Im Entwurf wird daher um Mitteilung gebeten, ob und wie die streitige Verknüpfung bis zur Klärung technisch eingeschränkt ist. Die bevorstehende Helfertätigkeit am 9. Oktober ist ein praktischer Wunsch nach zügiger Bearbeitung, keine künstliche gesetzliche Eilfrist.</w:t>
      </w:r>
    </w:p>
    <w:p>
      <w:pPr>
        <w:pStyle w:val="Heading1"/>
      </w:pPr>
      <w:r>
        <w:t>1.10. Vollstreckung, unmittelbarer Zwang und Kosten</w:t>
      </w:r>
    </w:p>
    <w:p>
      <w:pPr>
        <w:pStyle w:val="Heading2"/>
      </w:pPr>
      <w:r>
        <w:t>1.10.1. Prüfpfad und vollständiges Produkt</w:t>
      </w:r>
    </w:p>
    <w:p>
      <w:r>
        <w:t>Trenne Grundverfügung, Vollziehbarkeit, Vollstreckungsverfahren, konkrete Durchführung und Kostenbescheid. Eine materiell rechtmäßige Grundverfügung macht nicht jedes Zwangsmittel rechtmäßig; ein Vollstreckungsfehler beseitigt nicht automatisch den Verwaltungsakt. Prüfe zunächst, ob eine gestreckte Vollstreckung oder ein gesetzlich zugelassener Sofortvollzug beziehungsweise eine unmittelbare Ausführung vorliegt. Begriffe wie „sofort“ oder „direkt“ ersetzen keine rechtliche Einordnung.</w:t>
      </w:r>
    </w:p>
    <w:p>
      <w:r>
        <w:t>Das Verwaltungsvollstreckungsrecht des Bundes wird in Berlin über § 8 VwVfG BE nach dessen Maßgaben anwendbar. Lies die Berliner Fassung und Abweichungen, bevor §§ 6 ff. VwVG eingesetzt werden. Für unmittelbaren Zwang durch Berliner Vollzugsbeamte ist das UZwG Bln einschlägig, nicht reflexhaft das Bundes-UZwG. Ersatzvornahme, Zwangsgeld und unmittelbarer Zwang haben verschiedene Voraussetzungen und Funktionen. Eine Geldbuße ist keine Vollstreckungskostenposition und kein austauschbares Zwangsgeld.</w:t>
      </w:r>
    </w:p>
    <w:p>
      <w:r>
        <w:t>Prüfe einzelfallbezogen Androhung, Form, Frist, Auswahl und Verhältnismäßigkeit sowie gesetzliche Ausnahmen. Bei nicht vertretbarer Handlung ist Ersatzvornahme nicht allein wegen ihrer Bequemlichkeit zulässig. Tatsächliche Vollzugsmaßnahmen wie Wegtragen, Fesselung oder Transport sind rechtlich nach Zweck, Erforderlichkeit und Modalitäten zu bewerten; das Plugin erstellt keine operativen Einsatzanweisungen. Sichere die relevanten Zeit- und Ablaufbelege, ohne unbeteiligte Personen unnötig zu identifizieren.</w:t>
      </w:r>
    </w:p>
    <w:p>
      <w:r>
        <w:t>Bei Kosten verlange die genaue Ermächtigung, Gebührenordnung, Tarifstelle und Berechnung. § 41 Absatz 4 ASOG betrifft Kosten im Sicherstellungszusammenhang; andere Maßnahmen benötigen ihre eigene Kostenbasis. Trenne Gebühren von Auslagen, Rechnungsbetrag von Schätzung und behördlicher Forderung von privaten Ersatzaufwendungen. Die Rechnung eines beauftragten Unternehmens beweist weder die Rechtmäßigkeit der Beauftragung noch automatisch die volle Erstattungsfähigkeit gegenüber dem Mandanten.</w:t>
      </w:r>
    </w:p>
    <w:p>
      <w:r>
        <w:t>Beachte für öffentliche Abgaben und Kosten § 80 Absatz 2 Satz 1 Nummer 1 sowie Absatz 6 VwGO im konkreten Anwendungsbereich. Eine Anfechtung hat hier nicht allein wegen § 80 Absatz 1 stets aufschiebende Wirkung. Nicht jede privatrechtliche Rechnung wird dadurch zur öffentlichen Kostenforderung. Bei unmittelbarem Polizeivollzug ist zusätzlich die einschlägige Ausnahme nach § 80 Absatz 2 zu prüfen; für einen späteren Ordnungsamtsbescheid gelten nicht ohne Weiteres dieselben Gründe.</w:t>
      </w:r>
    </w:p>
    <w:p>
      <w:r>
        <w:t>Erstelle die Einwendung gegen die konkret vorhandene Forderung samt nachvollziehbarer Alternativrechnung. Fehlt ein Bescheid, formuliere eine Auskunfts- und Prüfungsbitte statt eines fingierten Widerspruchs. Zeige Zahlung zur Abwendung weiterer Nachteile, Vorbehalt und rechtliche Folgen nur nach gesonderter Prüfung auf; keine automatische Empfehlung, jedes Zahlungsbegehren zu ignorieren.</w:t>
      </w:r>
    </w:p>
    <w:p>
      <w:pPr>
        <w:pStyle w:val="Heading2"/>
      </w:pPr>
      <w:r>
        <w:t>1.10.2. Drei unabhängige Prüfungen</w:t>
      </w:r>
    </w:p>
    <w:p>
      <w:r>
        <w:t>Die erste Prüfung betrifft das Gebot: Was wurde dem Betroffenen verbindlich aufgegeben? Die zweite betrifft die Durchsetzung: War das Gebot vollziehbar und gerade dieses Mittel zulässig? Die dritte betrifft die Kosten: Darf die Behörde diese Position gerade von dieser Person verlangen? Eine brauchbare Stellungnahme nennt, auf welcher Ebene ein Fehler liegt. Sie behauptet nicht, jede falsche Einzelrechnung mache die gesamte ursprüngliche Gefahrprognose nichtig.</w:t>
      </w:r>
    </w:p>
    <w:p>
      <w:r>
        <w:t>Bei einer Beseitigungsmaßnahme kann die Behörde eine vertretbare Handlung selbst oder durch einen Dritten ausführen lassen. Die Rechnung muss jedoch dem tatsächlichen Auftrag entsprechen. War ein Fahrzeug nur umzusetzen oder vollständig abzuschleppen? Entstanden Wartezeiten wegen des Betriebs oder wegen unzureichender Organisation? Sind Stundensätze und Zuschläge aus der einschlägigen Kostenregel ersichtlich? Diese Fragen bestimmen die Belege, die sinnvoll angefordert werden.</w:t>
      </w:r>
    </w:p>
    <w:p>
      <w:pPr>
        <w:pStyle w:val="Heading2"/>
      </w:pPr>
      <w:r>
        <w:t>1.10.3. Sofortvollzug und sofortige Vollziehung</w:t>
      </w:r>
    </w:p>
    <w:p>
      <w:r>
        <w:t>Verwechsle die Vollstreckung ohne vorausgehenden Verwaltungsakt nicht mit der behördlichen Anordnung sofortiger Vollziehung eines vorhandenen Verwaltungsakts nach § 80 Absatz 2 Satz 1 Nummer 4 VwGO. Die erste Konstellation benötigt eine gesetzliche vollstreckungsrechtliche Grundlage und ihre besonderen Voraussetzungen. Die zweite betrifft die Durchbrechung aufschiebender Wirkung und verlangt grundsätzlich eine besondere schriftliche Begründung nach § 80 Absatz 3, soweit keine gesetzliche Ausnahme greift.</w:t>
      </w:r>
    </w:p>
    <w:p>
      <w:r>
        <w:t>Ebenso ist die unmittelbare Ausführung nach dem ASOG kein beliebiger Ersatz für eine erreichbare und handlungsfähige verantwortliche Person. Prüfe ihren Zweck und ihre Voraussetzungen anhand des geltenden Tatbestands. Wird eine dringliche Handlung vorgenommen, weil der Verantwortliche nicht rechtzeitig erreichbar ist, muss die Behörde die damalige Situation nachvollziehbar darlegen. Spätere Kosten hängen nicht allein davon ab, ob jemand nominell Eigentümer einer Sache war.</w:t>
      </w:r>
    </w:p>
    <w:p>
      <w:pPr>
        <w:pStyle w:val="Heading2"/>
      </w:pPr>
      <w:r>
        <w:t>1.10.4. Rechnungen rechnen und begrenzen</w:t>
      </w:r>
    </w:p>
    <w:p>
      <w:r>
        <w:t>Führe eine Kostenübersicht mit Position, Menge, Einheitspreis, Zeitraum, Beleg und rechtlicher Einwendung. Die Formel liefert die Summe; sie beurteilt nicht die Erstattungsfähigkeit. Ein im PDF genannter Pauschalpreis kann brutto oder netto sein. Übernimm keine Umsatzsteuer zusätzlich, wenn der Angebotstext bereits einen Endpreis nennt. Lege Schätzungen offen und markiere, welche Position tatsächlich gezahlt wurde.</w:t>
      </w:r>
    </w:p>
    <w:p>
      <w:r>
        <w:t>Bei Verwahrkosten prüfe, ob und ab wann die Rückgabe möglich war und ob der Betroffene sie zumutbar organisieren konnte. Ein angebotener Termin kann rechtliche Bedeutung haben; ein unverbindliches Zeitfenster ist noch keine Freigabe. Die Mandantin muss gegebenenfalls eigene Verzögerungen erklären. Sie soll weder unnötige Kosten produzieren noch auf Rechte verzichten, um eine sofortige Rückgabe zu erreichen. Der Entwurf kann eine getrennte Kostenprüfung bei gleichzeitiger sachlicher Abholkoordination vorsehen.</w:t>
      </w:r>
    </w:p>
    <w:p>
      <w:pPr>
        <w:pStyle w:val="Heading2"/>
      </w:pPr>
      <w:r>
        <w:t>1.10.5. Körperlicher Zwang und Beweissicherung</w:t>
      </w:r>
    </w:p>
    <w:p>
      <w:r>
        <w:t>Wenn körperlicher Zwang beanstandet wird, konzentriere dich auf den konkreten Eingriff, seine Dauer und beobachteten Folgen. Verletzungen werden durch vorhandene medizinische Dokumentation und eigene Wahrnehmung belegt. Ferndiagnosen und pauschale Vorwürfe sind zu vermeiden. Eine juristische Bewertung benötigt nicht die technische Rekonstruktion von Griffen oder Zugriffstaktiken. Es geht um die Eingriffsvoraussetzungen und verhältnismäßige Durchführung.</w:t>
      </w:r>
    </w:p>
    <w:p>
      <w:r>
        <w:t>Bei paralleler Strafanzeige, Dienstaufsichtsbeschwerde und verwaltungsgerichtlichem Begehren erkläre die unterschiedlichen Ziele. Eine Strafanzeige ersetzt weder eine verwaltungsrechtliche Frist noch einen Anspruch auf Herausgabe. Umgekehrt muss ein Mandant nicht ungefragt alle denkbaren Verfahren betreiben. Das bestellte Dokument wird gefertigt; weitere Optionen erscheinen in einer getrennten kurzen Beratung, wenn sie praktisch relevant sind.</w:t>
      </w:r>
    </w:p>
    <w:p>
      <w:pPr>
        <w:pStyle w:val="Heading1"/>
      </w:pPr>
      <w:r>
        <w:t>1.11. Rechtsbehelfe, Eilrechtsschutz und Folgen</w:t>
      </w:r>
    </w:p>
    <w:p>
      <w:pPr>
        <w:pStyle w:val="Heading2"/>
      </w:pPr>
      <w:r>
        <w:t>1.11.1. Prüfpfad und vollständiges Produkt</w:t>
      </w:r>
    </w:p>
    <w:p>
      <w:r>
        <w:t>Zerlege das Anliegen in Aufhebung, Unterlassung, Herausgabe, Auskunft, Berichtigung, Feststellung und gegebenenfalls Geldleistung. Diese Ziele führen nicht alle zur gleichen Klageart. Bestimme Verwaltungsakt, Realakt und gerichtliche Anordnung nach ihrem tatsächlichen Regelungsgehalt. Präventives Landesrecht, Strafprozessrecht, FamFG-Sonderzuweisung und Amtshaftung dürfen nicht in einem vermeintlichen einheitlichen Polizeirechtsweg verschwinden.</w:t>
      </w:r>
    </w:p>
    <w:p>
      <w:r>
        <w:t>Prüfe § 40 VwGO und abdrängende Sonderzuweisungen zuerst. § 31/§ 65 ASOG verweist Freiheitsentziehung und bestimmte richterliche Entscheidungen in den ordentlichen Rechtsweg. § 65a unterscheidet Schadensausgleich/Entschädigung und bezeichneten Aufwendungsersatz. Bei § 81b StPO ist der konkrete Zweck wesentlich. Ein auf einer besonderen prozessualen Bindung beruhendes VG-Urteil ist kein Beleg allgemeiner VG-Zuständigkeit. Befasse das Gericht nicht bloß nach dem Ort des Gewahrsamsgebäudes.</w:t>
      </w:r>
    </w:p>
    <w:p>
      <w:r>
        <w:t>Bei Widerspruch lies § 67 ASOG und das tatsächliche Berliner Vorverfahrensrecht. Erfasse Bekanntgabeform, mündliche Eröffnung, spätere Bestätigung, förmliche Zustellung und tatsächliche Zugangshinweise. Eine E-Mail-Anfrage wahrt nicht automatisch einen formgebundenen Widerspruch. §§ 58, 60, 70 und 74 VwGO sind fallbezogen zu prüfen; bei § 31 Absatz 2 ASOG gilt die besondere Monatsfrist ab Beendigung. Verwechsle organisatorische Rückmeldetermine nicht mit gesetzlichen Ausschlussfristen.</w:t>
      </w:r>
    </w:p>
    <w:p>
      <w:r>
        <w:t>§ 80 Absatz 5 VwGO schützt gegen Vollziehung eines belastenden Verwaltungsakts, wenn die prozessualen Voraussetzungen vorliegen. § 123 sichert ein anderes Leistungs- oder Unterlassungsziel; Absatz 5 grenzt ab. Anordnung und Wiederherstellung aufschiebender Wirkung nach dem Grund ihres Wegfalls unterscheiden. Bei rein erledigten Maßnahmen keine sinnlose Aussetzung vergangener Vollziehung beantragen. Fortsetzungsfeststellung beziehungsweise allgemeine Feststellung verlangt ein tragfähiges Interesse; BVerwG 24.04.2024 – 6 C 2.22 nicht als generellen Bagatellausschluss, sondern differenziert anwenden.</w:t>
      </w:r>
    </w:p>
    <w:p>
      <w:r>
        <w:t>Die Eilbegründung benennt den bevorstehenden Nachteil und die Belege. Eine freiwillig gesetzte Antwortfrist schafft keine gerichtliche Dringlichkeit. Bei möglicher Vernichtung oder fortdauernder Freiheitseinbuße kann die Sache dagegen echte Eile haben. Stelle Hauptantrag und notwendige Hilfsanträge so, dass das Gericht das konkrete Ziel erkennt, ohne widersprüchliche oder überschießende Anordnungen zu verlangen. Glaubhaftmachung, Anlagen und Tatsachengrundlage müssen zusammenpassen.</w:t>
      </w:r>
    </w:p>
    <w:p>
      <w:r>
        <w:t>Bei anwaltlicher Einreichung §§ 55a und 55d VwGO beachten. OVG Berlin-Brandenburg, Beschluss vom 23.07.2026 – OVG 6 S 181/26, Gründe 3, behandelt fehlende Form bei einfach signiertem Dokument aus dem fremden beA sowie unzureichend belegte technische Störung. Eine Ersatzeinreichung verlangt konkrete, rechtzeitige Glaubhaftmachung; ein Screenshot ohne Datum und Einordnung genügt nicht. Entwurf, Versandfreigabe, tatsächlicher Eingang und gerichtliche Entscheidung sind vier verschiedene Statusangaben.</w:t>
      </w:r>
    </w:p>
    <w:p>
      <w:pPr>
        <w:pStyle w:val="Heading2"/>
      </w:pPr>
      <w:r>
        <w:t>1.11.2. Fristnotiz ohne Scheingenauigkeit</w:t>
      </w:r>
    </w:p>
    <w:p>
      <w:r>
        <w:t>Die Fristnotiz hält Norm, fristauslösendes Ereignis, Beleg, Berechnung und Unsicherheit fest. Bei einem gewöhnlichen Brief können Versanddatum, gesetzliche Bekanntgaberegel und belegter tatsächlicher Zugang zusammenwirken. Bei einer mündlichen Verfügung beginnt die Betrachtung nicht erst beim späteren Papier. Fehlt die vollständige Rechtsbehelfsbelehrung, wird sie angefordert und die mögliche Auswirkung nach § 58 geprüft, statt reflexhaft von gar keiner Frist auszugehen.</w:t>
      </w:r>
    </w:p>
    <w:p>
      <w:r>
        <w:t>Wenn mehrere mögliche Beginnzeitpunkte bestehen, arbeite intern mit einer vorsorglichen früheren Sicherungsfrist und erkläre die verbleibende Unsicherheit. Eine solche interne Vorsorge darf im Schriftsatz nicht als zweifelsfrei gesetzlich feststehendes Datum behauptet werden. Die Mandantin erhält einen klaren nächsten Schritt: bis wann welche Erklärung vorbereitet oder eingereicht werden soll und welche Information die endgültige Berechnung ändern könnte.</w:t>
      </w:r>
    </w:p>
    <w:p>
      <w:pPr>
        <w:pStyle w:val="Heading2"/>
      </w:pPr>
      <w:r>
        <w:t>1.11.3. Akteneinsicht und Begründung</w:t>
      </w:r>
    </w:p>
    <w:p>
      <w:r>
        <w:t>Der Berliner § 6 VwVfG eröffnet einen eigenen Zugang zu den Verfahrensakten mit den dort genannten Schutzgrenzen und entsprechender Anwendung der §§ 5 bis 12 IFG Berlin. § 29 Bundes-VwVfG ist nicht der einzige oder ungeprüft primäre Einstieg. Die Bildungsausnahme des § 2 Absatz 2 VwVfG BE gehört nicht pauschal in einen Polizeirechtsfall. Strafprozessuale Ermittlungsakten und personenbezogene Auskunft unterliegen daneben eigenen Regeln.</w:t>
      </w:r>
    </w:p>
    <w:p>
      <w:r>
        <w:t>Ein Akteneinsichtsantrag hemmt grundsätzlich keine Rechtsbehelfsfrist. Bei drohendem Ablauf wird ein hinreichend bestimmter fristwahrender Rechtsbehelf erwogen und die Begründung nach Akteneinsicht ergänzt. Der Empfängertext benennt den Gegenstand und vorhandene Gründe; er besteht nicht allein aus der Aussage, alles sei noch unbekannt. Bereits belegte Fehler werden vorgebracht, offene Tatsachen klar bezeichnet und notwendige Unterlagen gezielt angefordert.</w:t>
      </w:r>
    </w:p>
    <w:p>
      <w:pPr>
        <w:pStyle w:val="Heading2"/>
      </w:pPr>
      <w:r>
        <w:t>1.11.4. Erledigung und Fortsetzung</w:t>
      </w:r>
    </w:p>
    <w:p>
      <w:r>
        <w:t>Prüfe Erledigung pro Maßnahme und pro Zeitpunkt. Ein Platzverweis kann beendet sein, während eine Datenverknüpfung und ein Kostenbescheid weiter belasten. Ein Gericht kann nur über den tatsächlich erhobenen Gegenstand entscheiden; die Aufhebung eines Teils öffnet andere rechtskräftige Teile nicht automatisch. OVG 3 B 20/25 aus 2026 illustriert dies am Zusammenhang von Durchsuchung und Sicherstellung. Lies deshalb auch frühere Tenöre und Streitgegenstände, wenn der Mandant bereits ein Verfahren geführt hat.</w:t>
      </w:r>
    </w:p>
    <w:p>
      <w:r>
        <w:t>Für die Wiederholungsgefahr genügt nicht die abstrakte Möglichkeit, irgendwann wieder kontrolliert zu werden. Benenne die konkrete nächste vergleichbare Situation und die weitgehend unveränderten maßgeblichen Umstände. Rehabilitation erfordert eine fortwirkende belastende Außenwirkung, nicht bloß subjektive Empörung. Für eine beabsichtigte Schadensersatzklage sind die prozessualen Voraussetzungen dieser Fallgruppe und der Zeitpunkt der Erledigung eigenständig zu prüfen. Ein qualifizierter kurzfristiger Eingriff kann eine weitere anerkannte Grundlage bilden.</w:t>
      </w:r>
    </w:p>
    <w:p>
      <w:pPr>
        <w:pStyle w:val="Heading2"/>
      </w:pPr>
      <w:r>
        <w:t>1.11.5. Form und Technik praktisch prüfen</w:t>
      </w:r>
    </w:p>
    <w:p>
      <w:r>
        <w:t>Vor Einreichung müssen Antragsfassung, verantwortliche Unterzeichnung, Übermittlungsweg und Anlagen stimmen. Ein Schriftsatz mit dem Namen einer Person und Versand durch ein anderes persönliches beA benötigt die rechtlich erforderliche Signatur oder Verantwortungsübernahme. Es ist nicht ausreichend, dass irgendeine Kanzleiperson auf Senden klickt. Die Übermittlungsbestätigung muss zu genau dem finalen Dokument gehören, dessen Fassung der Auftraggeber freigegeben hat.</w:t>
      </w:r>
    </w:p>
    <w:p>
      <w:r>
        <w:t>Bei technischer Störung werden konkrete Zeitpunkte, Fehlermeldung, Versuche und zulässige Reaktion dokumentiert. Erfinde weder Supportkontakte noch einen Eingang bei Gericht. Eine ordnungsgemäße Ersatzeinreichung kann nur nach den tatsächlich erfüllten gesetzlichen Voraussetzungen angenommen werden. Wenn das System keine sichere Einreichung ausführen kann, liefert es den fertigen Schriftsatz und eine präzise Übergabenotiz. Es darf den Auftrag nicht mit einer bloßen Klageartentabelle als erledigt behandeln.</w:t>
      </w:r>
    </w:p>
    <w:p>
      <w:pPr>
        <w:pStyle w:val="Heading2"/>
      </w:pPr>
      <w:r>
        <w:t>1.11.6. Gerichtliche Antwort weiterbearbeiten</w:t>
      </w:r>
    </w:p>
    <w:p>
      <w:r>
        <w:t>Nach Eingang eines gerichtlichen Hinweises lies ihn vor der bisherigen Strategie. Eine Nachfrage zur Zuständigkeit verlangt gegebenenfalls die Trennung von Begehren, eine Glaubhaftmachungsanforderung den passenden Beleg und ein Vergleichsvorschlag eine inhaltliche Folgenprüfung. Erstelle die konkret angeforderte Reaktion vollständig. Neue Fristen werden mit tatsächlichem Zugang eingetragen. Bereits erledigte Fragen werden nicht erneut gestellt, solange kein widersprechender neuer Sachverhalt auftaucht.</w:t>
      </w:r>
    </w:p>
    <w:p>
      <w:pPr>
        <w:pStyle w:val="Heading1"/>
      </w:pPr>
      <w:r>
        <w:t>1.12. Sonderlagen und Grenzen des allgemeinen Polizeirechts</w:t>
      </w:r>
    </w:p>
    <w:p>
      <w:pPr>
        <w:pStyle w:val="Heading2"/>
      </w:pPr>
      <w:r>
        <w:t>1.12.1. Prüfpfad und vollständiges Produkt</w:t>
      </w:r>
    </w:p>
    <w:p>
      <w:r>
        <w:t>Prüfe vor der Generalklausel, ob der Sachverhalt spezielles Versammlungs-, Gewaltschutz-, Unterbringungs- oder sonstiges Fachrecht verlangt. Eine private Kuchenrunde ohne Beitrag zur öffentlichen Meinungsbildung ist nicht allein wegen mehrerer Personen eine Versammlung. Eine demonstrative Zusammenkunft verliert ihren Versammlungscharakter aber nicht schon durch Störung oder unbequeme Meinung. In Berlin sind Art. 8 GG, Art. 26 VvB und das VersFG BE maßgeblich; das Bundes-VersG nicht als aktuell allgemeines Berliner Landesgesetz ausgeben.</w:t>
      </w:r>
    </w:p>
    <w:p>
      <w:r>
        <w:t>BVerwG, Urteil vom 27.03.2024 – 6 C 1.22, Rn. 35–67, unterscheidet Versammlungsbegriff und Friedlichkeit. Ein kommunikatives Anliegen darf nicht vorschnell als Vorwand behandelt werden. Die Ausnahme für von Anfang an durchgehend unfriedliche Versammlungen berechtigt nicht, jede Störung eines Einzelnen allen friedlichen Teilnehmern zuzurechnen. Prüfe die Berliner Spezialregeln zu versammlungsspezifischen Maßnahmen, Auflösung, Ausschluss und sonstigem Recht. Eine polizeiliche Befugnis darf nicht als Umgehung des Versammlungsrechts verwendet werden.</w:t>
      </w:r>
    </w:p>
    <w:p>
      <w:r>
        <w:t>Bei Wohnungsverweisung, Rückkehrverbot oder Kontakt-/Näherungsverbot nach § 29a und weiteren einschlägigen Bestimmungen erfasse die konkrete Gefahr, Dauer, Adressaten, Schutzbedürfnisse und gerichtliche Parallelregelungen. Polizeiliche Gefahrenabwehr und familiengerichtlicher Gewaltschutz sind verschiedene Rechtsakte. Die Werkstatt erstellt Schutz- oder Rechtsbehelfsentwürfe; sie enthält keine Anleitungen zur Überwachung, Umgehung von Schutzanordnungen oder Kontaktaufnahme gegen den Willen einer geschützten Person. Offenbart die Akte akute Gefahr, verweise auf unmittelbar erreichbare Notfallhilfe und anwaltliche Vertretung, während rechtliche Entwürfe vorbereitet werden.</w:t>
      </w:r>
    </w:p>
    <w:p>
      <w:r>
        <w:t>Beim Schutz privater Rechte nach § 1 Absatz 4 ASOG die gesetzliche Subsidiarität gegenüber rechtzeitig erreichbarem zivilgerichtlichem Schutz und die drohende Vereitelung oder wesentliche Erschwerung beachten. Polizei ist kein allgemeines Inkasso- oder Besitzverschaffungsunternehmen. Bei verlorenen, gestohlenen oder streitig zugeordneten Sachen Sicherstellungs- und Herausgaberegeln eigenständig prüfen. Ein zivilrechtlicher Streit erlaubt nicht beliebige polizeiliche Dauerverwahrung.</w:t>
      </w:r>
    </w:p>
    <w:p>
      <w:r>
        <w:t>Bei unfreiwilliger Obdachlosigkeit akuten Bedarf, Selbsthilfemöglichkeiten, zumutbare Unterkunft und tatsächliche Zuständigkeit prüfen. Unterbringung zur Gefahrenabwehr bedeutet keine automatische dauerhafte Wohnungsverschaffung. Familiäre und gesundheitliche Belange werden konkret berücksichtigt; die Person muss nicht ungeprüft in eine ungeeignete Unterkunft verwiesen werden. Änderungen 2026 zur zentralen Beschaffung und zum Landesamt für Flüchtlingsangelegenheiten und Unterbringung verändern nicht ohne Prüfung jede bezirkliche Zuweisungszuständigkeit.</w:t>
      </w:r>
    </w:p>
    <w:p>
      <w:r>
        <w:t>Liefer das fachlich passende Produkt und leite bei notwendiger Vertiefung in ein spezialisiertes Rechtsgebiet weiter, ohne den bearbeitbaren Teil liegen zu lassen. Grenzüberschreitende Themen werden ausdrücklich markiert; es werden keine weiteren Skills erzeugt oder fremde Plugininstallationen vorausgesetzt.</w:t>
      </w:r>
    </w:p>
    <w:p>
      <w:pPr>
        <w:pStyle w:val="Heading2"/>
      </w:pPr>
      <w:r>
        <w:t>1.12.2. Veranstaltung ist nicht gleich Veranstaltung</w:t>
      </w:r>
    </w:p>
    <w:p>
      <w:r>
        <w:t>Die Einordnung richtet sich nach dem tatsächlichen Gesamtgepräge und dem kommunikativen Anliegen. Öffentlichkeitsbezug, Reden, Transparente, gemeinschaftliche Meinungsbekundung und Organisation können dafür wichtig sein. Eine private Einladung mit Kuchen und Kinderspielen ist etwas anderes als eine Kundgebung zur Erhaltung des Parks. Der Mandant soll nicht nachträglich eine politische Erklärung erfinden, um eine frühere private Veranstaltung in den Schutzbereich zu bringen.</w:t>
      </w:r>
    </w:p>
    <w:p>
      <w:r>
        <w:t>Umgekehrt kann eine kreative oder musikalische Protestform geschützte Versammlung sein. Das Fehlen klassischer Rednerliste oder Lautsprecherbühne entscheidet nicht allein. Bei gemischten Elementen wird die konkrete Funktion untersucht. Ein politisches Anliegen bleibt nicht stets bloßer Vorwand, weil zugleich Aufmerksamkeit erzeugt oder ein Ablauf gestört wird. Friedlichkeit und sonstige Rechtmäßigkeit werden erst danach eigenständig betrachtet.</w:t>
      </w:r>
    </w:p>
    <w:p>
      <w:pPr>
        <w:pStyle w:val="Heading2"/>
      </w:pPr>
      <w:r>
        <w:t>1.12.3. Polizeifestigkeit differenziert prüfen</w:t>
      </w:r>
    </w:p>
    <w:p>
      <w:r>
        <w:t>Ermittle, welche Gefahr gerade versammlungsspezifisch ist und welche Maßnahme gegen wen gerichtet wird. Der Spezialitätsgedanke schützt das gesetzliche Versammlungsverfahren, nicht jede unabhängig begangene Straftat vor Verfolgung. Repressive Maßnahmen sind nach ihren eigenen Grundlagen zu prüfen. Auch eine versammlungsfremde Gefahr kann anders einzuordnen sein als eine Beschränkung des Versammlungsgeschehens selbst. Diese Unterscheidung muss der Empfängertext an den konkreten Tatsachen festmachen.</w:t>
      </w:r>
    </w:p>
    <w:p>
      <w:r>
        <w:t>Bei einer behaupteten Auflösung frage nach Wortlaut, Adressaten, Wahrnehmbarkeit und Zeitpunkt. Ein bloßer Appell an einzelne Störer ist nicht ohne Weiteres eine Auflösung der gesamten Versammlung. Ob die Betroffenen tatsächlich die Möglichkeit hatten, sich zu entfernen, ist relevant. BVerwG 6 C 1.22, Rn. 53–56, zeigt die Bedeutung eindeutiger Erklärung und realer Entfernungsmöglichkeit. Übertrage die damalige Bundesnorm nicht ungeprüft auf die aktuelle Berliner Bestimmung.</w:t>
      </w:r>
    </w:p>
    <w:p>
      <w:pPr>
        <w:pStyle w:val="Heading2"/>
      </w:pPr>
      <w:r>
        <w:t>1.12.4. Schutz vor häuslicher Gewalt rechtlich bearbeiten</w:t>
      </w:r>
    </w:p>
    <w:p>
      <w:r>
        <w:t>Bei akuten Schutzanliegen werden sichere Kommunikationswege und erforderliche Informationen priorisiert. Das fertige Schreiben benennt das Schutzbegehren und die belegten aktuellen Tatsachen. Es fordert keine riskante persönliche Konfrontation zur Beweissammlung. Die Adresse einer geschützten Unterkunft oder Details, die den Aufenthaltsort offenbaren, werden nicht unnötig in allgemein zugängliche Unterlagen aufgenommen.</w:t>
      </w:r>
    </w:p>
    <w:p>
      <w:r>
        <w:t>Für die rechtliche Prüfung zählen polizeiliche Anordnung, tatsächliche Bekanntgabe, räumliche und zeitliche Reichweite sowie ein eventueller familiengerichtlicher Beschluss. Ein Ende der polizeilichen Frist bedeutet nicht automatisch, dass ein gesondertes gerichtliches Kontaktverbot endet. Umgekehrt ersetzt ein polizeilicher Sofortschutz nicht jedes weitere gerichtliche Verfahren. Die konkrete Berliner Dauer und Verlängerungsvoraussetzung werden am aktuellen Gesetz gelesen; keine fremdländischen Standardfristen übernehmen.</w:t>
      </w:r>
    </w:p>
    <w:p>
      <w:pPr>
        <w:pStyle w:val="Heading2"/>
      </w:pPr>
      <w:r>
        <w:t>1.12.5. Private Rechte und öffentliche Gefahr</w:t>
      </w:r>
    </w:p>
    <w:p>
      <w:r>
        <w:t>Wenn Nachbarn um Eigentum streiten, prüfe, ob eine tatsächliche öffentliche Gefahr oder ein gesetzlicher Sicherstellungsgrund besteht. Die Polizei muss keinen komplizierten Kaufvertrag abschließend zivilrechtlich entscheiden. Sie darf aber einen klar belegten Wegfall des Sicherungsgrundes nicht ohne Ende mit dem Hinweis auf „zivilrechtliche Fragen“ ignorieren. Der Antrag soll die aktuelle Lage und eine praktisch sichere Übergabe erklären.</w:t>
      </w:r>
    </w:p>
    <w:p>
      <w:r>
        <w:t>Ist gerichtlicher Zivilrechtsschutz rechtzeitig erreichbar, wird die polizeiliche Subsidiarität berücksichtigt. Ist die Durchsetzung eines privaten Rechts andernfalls unmittelbar vereitelt oder erheblich erschwert, kann der gesetzliche Schutzrahmen eröffnet sein. Das Plugin verspricht weder allgemeine polizeiliche Besitzverschaffung noch eine vollständige Auslagerung aller Fragen an das Zivilgericht. Es prüft den konkreten gesetzlichen Übergang.</w:t>
      </w:r>
    </w:p>
    <w:p>
      <w:pPr>
        <w:pStyle w:val="Heading2"/>
      </w:pPr>
      <w:r>
        <w:t>1.12.6. Hilfe bei fehlender Unterkunft</w:t>
      </w:r>
    </w:p>
    <w:p>
      <w:r>
        <w:t>Eine betroffene Person benötigt in einer akuten Nachtlage ein bearbeitbares Schutzbegehren und erreichbare Zuständigkeit, nicht zuerst eine lange Abhandlung zum Sozialrecht. Erfasse tatsächlichen Aufenthaltsort, verfügbare eigene Mittel, gesundheitliche Mindestanforderungen und familiäre Einheit. Bestehende Angebote werden auf tatsächliche Nutzbarkeit geprüft, ohne luxuriöse Standards zu versprechen. Maßstab ist die Abwendung der konkreten Gefahr unter Wahrung der Grundrechte.</w:t>
      </w:r>
    </w:p>
    <w:p>
      <w:r>
        <w:t>Leistungen nach Sozialrecht, wohnungsrechtliche Ansprüche und polizeiliche Unterbringung werden anschließend getrennt fortgeführt. Ein zentraler Beschaffungsauftrag des LFU ist nicht automatisch identisch mit der Behörde, die im Einzelfall den Platz zuweist. Verwende für Oktober 2026 die aktuelle Organisationsgrundlage und konkret zuständige Stelle. Das Ergebnis enthält den vollständigen Antrag und eine kurze Notiz, welche weiteren Unterlagen nachgereicht werden können.</w:t>
      </w:r>
    </w:p>
    <w:p>
      <w:pPr>
        <w:pStyle w:val="Heading1"/>
      </w:pPr>
      <w:r>
        <w:t>1.13. Normen und Verfahrenswege mit Stand 2. Oktober 2026</w:t>
      </w:r>
    </w:p>
    <w:p>
      <w:pPr>
        <w:pStyle w:val="Heading2"/>
      </w:pPr>
      <w:r>
        <w:t>1.13.1. Prüftag und Quellenzugang</w:t>
      </w:r>
    </w:p>
    <w:p>
      <w:r>
        <w:t>Stand: 2. Oktober 2026. Für historische Maßnahmen den damals geltenden Text, für heutige Fortdauer und Verarbeitung zusätzlich den heute einschlägigen Text lesen. Die einschlägigen ASOG-Vorschriften wurden im amtlichen Portal in der Fassung mit Gültigkeit vom 19.07.2026 bis 31.12.2030 gelesen; der Kopf nennt Artikel 3 des Gesetzes vom 25.06.2026, GVBl. S. 488, 492, als letzte berücksichtigte Änderung. Berücksichtigte Änderungen und schon wirksame Einzelvorschriften sind zu unterscheiden. Kein Gesetz wird allein aus einer Pressemitteilung als in Kraft behandelt.</w:t>
      </w:r>
    </w:p>
    <w:p>
      <w:r/>
      <w:hyperlink r:id="rId9" w:history="1">
        <w:r>
          <w:rPr>
            <w:rFonts w:ascii="Times New Roman" w:hAnsi="Times New Roman"/>
            <w:sz w:val="22"/>
            <w:color w:val="1F4E79"/>
            <w:u w:val="single"/>
          </w:rPr>
          <w:t>ASOG, amtliche Gesamtausgabe</w:t>
        </w:r>
      </w:hyperlink>
      <w:r>
        <w:t xml:space="preserve">. </w:t>
      </w:r>
      <w:hyperlink r:id="rId10" w:history="1">
        <w:r>
          <w:rPr>
            <w:rFonts w:ascii="Times New Roman" w:hAnsi="Times New Roman"/>
            <w:sz w:val="22"/>
            <w:color w:val="1F4E79"/>
            <w:u w:val="single"/>
          </w:rPr>
          <w:t>Landesorganisationsgesetz</w:t>
        </w:r>
      </w:hyperlink>
      <w:r>
        <w:t xml:space="preserve">. </w:t>
      </w:r>
      <w:hyperlink r:id="rId11" w:history="1">
        <w:r>
          <w:rPr>
            <w:rFonts w:ascii="Times New Roman" w:hAnsi="Times New Roman"/>
            <w:sz w:val="22"/>
            <w:color w:val="1F4E79"/>
            <w:u w:val="single"/>
          </w:rPr>
          <w:t>Berliner Verfassung</w:t>
        </w:r>
      </w:hyperlink>
      <w:r>
        <w:t xml:space="preserve">. </w:t>
      </w:r>
      <w:hyperlink r:id="rId12" w:history="1">
        <w:r>
          <w:rPr>
            <w:rFonts w:ascii="Times New Roman" w:hAnsi="Times New Roman"/>
            <w:sz w:val="22"/>
            <w:color w:val="1F4E79"/>
            <w:u w:val="single"/>
          </w:rPr>
          <w:t>Berliner Verwaltungsverfahrensgesetz</w:t>
        </w:r>
      </w:hyperlink>
      <w:r>
        <w:t>.</w:t>
      </w:r>
    </w:p>
    <w:p>
      <w:pPr>
        <w:pStyle w:val="Heading2"/>
      </w:pPr>
      <w:r>
        <w:t>1.13.2. Organisation und Reformen 2025/2026</w:t>
      </w:r>
    </w:p>
    <w:p>
      <w:r>
        <w:t xml:space="preserve">Die Reform vom 11.12.2025, GVBl. S. 590, hat das ASOG umfassend geändert. § 69 enthält besondere Übergänge. Die alte Bestimmung kriminalitätsbelasteter Orte galt unter den dortigen Veröffentlichungsvoraussetzungen nur bis Ende Juni 2026 fort. Für spätere Maßnahmen sind § 17a, die aktuelle Rechtsverordnung und deren Anlagen maßgeblich. Die Verordnung vom 17.06.2026 wurde am 30.06.2026 verkündet; örtliche Grenzen und Geltungsdauer müssen anhand der geltenden Fassung geprüft werden. Die amtliche </w:t>
      </w:r>
      <w:hyperlink r:id="rId13" w:history="1">
        <w:r>
          <w:rPr>
            <w:rFonts w:ascii="Times New Roman" w:hAnsi="Times New Roman"/>
            <w:sz w:val="22"/>
            <w:color w:val="1F4E79"/>
            <w:u w:val="single"/>
          </w:rPr>
          <w:t>Polizeiseite mit Gebietsinformationen</w:t>
        </w:r>
      </w:hyperlink>
      <w:r>
        <w:t xml:space="preserve"> dient der konkreten Kartensuche, nicht als Ersatz für die gesetzlichen Voraussetzungen.</w:t>
      </w:r>
    </w:p>
    <w:p>
      <w:r>
        <w:t>Das Gesetz vom 09.03.2026, GVBl. S. 117, ergänzt den damaligen Zuständigkeitskatalog zu geografischen Angaben für bestimmte Erzeugnisse. Artikel 1 des Gesetzes vom 01.04.2026, GVBl. S. 154, ändert Aufgaben im Bereich Unterbringung. Artikel 5 des Gesetzes vom 01.04.2026, GVBl. S. 158, 159, ergänzt § 17 Absatz 4 unter anderem zur kritischen Infrastruktur. Das Gesetz vom 03.06.2026, GVBl. S. 234, betrifft § 67 und den damaligen Katalog. Die Anknüpfung der aktuellen Detailzuständigkeit folgt nach § 2 Absatz 4 ASOG aus § 13 Absatz 1 und 2 LOG BE. Das historisch geläufige Schema „Anlage zu § 2 Absatz 4“ darf deshalb nicht ohne zeitlichen Abgleich als heutige Zuständigkeitsgrundlage ausgegeben werden.</w:t>
      </w:r>
    </w:p>
    <w:p>
      <w:r>
        <w:t xml:space="preserve">Amtliche Verkündungsnachweise: </w:t>
      </w:r>
      <w:hyperlink r:id="rId14" w:history="1">
        <w:r>
          <w:rPr>
            <w:rFonts w:ascii="Times New Roman" w:hAnsi="Times New Roman"/>
            <w:sz w:val="22"/>
            <w:color w:val="1F4E79"/>
            <w:u w:val="single"/>
          </w:rPr>
          <w:t>GVBl. 2026 Nr. 8, S. 117</w:t>
        </w:r>
      </w:hyperlink>
      <w:r>
        <w:t xml:space="preserve">, </w:t>
      </w:r>
      <w:hyperlink r:id="rId15" w:history="1">
        <w:r>
          <w:rPr>
            <w:rFonts w:ascii="Times New Roman" w:hAnsi="Times New Roman"/>
            <w:sz w:val="22"/>
            <w:color w:val="1F4E79"/>
            <w:u w:val="single"/>
          </w:rPr>
          <w:t>GVBl. 2026 Nr. 11, S. 154 und 159</w:t>
        </w:r>
      </w:hyperlink>
      <w:r>
        <w:t xml:space="preserve">, </w:t>
      </w:r>
      <w:hyperlink r:id="rId16" w:history="1">
        <w:r>
          <w:rPr>
            <w:rFonts w:ascii="Times New Roman" w:hAnsi="Times New Roman"/>
            <w:sz w:val="22"/>
            <w:color w:val="1F4E79"/>
            <w:u w:val="single"/>
          </w:rPr>
          <w:t>amtlicher Jahrgang 2026</w:t>
        </w:r>
      </w:hyperlink>
      <w:r>
        <w:t>.</w:t>
      </w:r>
    </w:p>
    <w:p>
      <w:r>
        <w:t xml:space="preserve">Seit dem 19.07.2026 gilt die Zuständigkeitsverordnung vom 23.06.2026 mit dem Gesamtkatalog nach § 13 LOG BE. § 51 LOG BE trägt den alten Katalog nur bis zum Inkrafttreten dieser Verordnung; er begründet keine fortdauernde pauschale Altkataloggeltung. ZustV §§ 1, 6 und 7 sowie die konkret einschlägige Katalognummer lesen. Für das Polizeirecht liegt der Katalogbereich im GVBl. ab S. 592; Versammlungszuständigkeiten stehen insbesondere unter Nummern 1.9.22.2.1 und 1.9.22.2.3 auf S. 595. Eine konkrete Zuständigkeitsnummer wird nur dem passenden Gegenstand zugeordnet. </w:t>
      </w:r>
      <w:hyperlink r:id="rId17" w:history="1">
        <w:r>
          <w:rPr>
            <w:rFonts w:ascii="Times New Roman" w:hAnsi="Times New Roman"/>
            <w:sz w:val="22"/>
            <w:color w:val="1F4E79"/>
            <w:u w:val="single"/>
          </w:rPr>
          <w:t>Amtliche ZustV, GVBl. 2026 Nr. 24, S. 547 ff.</w:t>
        </w:r>
      </w:hyperlink>
      <w:r>
        <w:t>.</w:t>
      </w:r>
    </w:p>
    <w:p>
      <w:pPr>
        <w:pStyle w:val="Heading2"/>
      </w:pPr>
      <w:r>
        <w:t>1.13.3. Maßnahmengruppen</w:t>
      </w:r>
    </w:p>
    <w:p>
      <w:r>
        <w:t>§§ 1–4 ASOG: Aufgaben, Zuständigkeit und Verhältnis von Polizei und Ordnungsbehörden. §§ 11–16: Verhältnismäßigkeit, Ermessen, Verantwortlichkeit, unmittelbare Ausführung und ausnahmsweise Inanspruchnahme anderer Personen. § 17: allgemeine Befugnis und Begriffe; § 17a: kriminalitätsbelastete Orte. §§ 18, 21 und 23: Befragung, Identitätsfeststellung und erkennungsdienstliche Maßnahmen. Maßnahmezweck und Strafprozessrecht jeweils vorschalten.</w:t>
      </w:r>
    </w:p>
    <w:p>
      <w:r>
        <w:t>§ 29: vorübergehende Wegweisung/Betretensverbot von Absatz 1 und polizeiliches Aufenthaltsverbot bei Straftatenprognose nach Absatz 2 trennen. § 29a und gegebenenfalls weitere Spezialnormen: Schutzanordnungen in konkreten Gefahrenlagen. §§ 30–33: Gewahrsam, richterliche Entscheidung, Behandlung und Dauer. §§ 34–37: Durchsuchung von Personen, Sachen und Wohnungen sowie Verfahren. Die Wohnung umfasst nach § 36 Absatz 1 auch gesetzlich genannte Neben-, Arbeits-, Betriebs- und Geschäftsräume und befriedetes Besitztum; öffentlich zugängliche Bereiche nach Absatz 5 gesondert.</w:t>
      </w:r>
    </w:p>
    <w:p>
      <w:r>
        <w:t>§§ 38–41: Sicherstellung, Verwahrung, Verwertung/Vernichtung und Herausgabe. § 38 Absatz 2: Veräußerungsverbot; Absatz 3: bestimmte Vermögensrechte nur bei den dortigen Voraussetzungen durch Polizei. § 41 Absatz 1: Sache und Empfänger; Absatz 2: besondere Forderungsregel; Absatz 3: Erlös; Absatz 4: Kosten. Absatznummern aus älteren Entscheidungen nicht mechanisch fortschreiben.</w:t>
      </w:r>
    </w:p>
    <w:p>
      <w:pPr>
        <w:pStyle w:val="Heading2"/>
      </w:pPr>
      <w:r>
        <w:t>1.13.4. Daten und Akteneinsicht</w:t>
      </w:r>
    </w:p>
    <w:p>
      <w:r>
        <w:t>Bei Verarbeitung zu Zwecken des § 30 BlnDSG: § 50 ASOG mit §§ 41 und 43 BlnDSG für Auskunft, § 48 ASOG mit den einschlägigen §§ 44 und 61 BlnDSG für Korrektur, Löschung und Einschränkung lesen. Außerhalb dieses Bereichs: Art. 13–19 DSGVO mit § 50 und § 48a ASOG sowie den jeweils einschlägigen BlnDSG-Ergänzungen. § 48a Absatz 2 schützt die richtige Wiedergabe von Aussagen und Bewertungen vor einer undifferenzierten inhaltlichen „Korrektur“; bei nicht geklärter Richtigkeit die gesetzliche Einschränkung prüfen. Ein vermerkter Prüftermin begründet keine automatische Speicherdauer.</w:t>
      </w:r>
    </w:p>
    <w:p>
      <w:r>
        <w:t>Akteneinsicht in Berliner Verwaltungsverfahren: § 6 VwVfG BE vor bloßer Übernahme des § 29 Bundes-VwVfG; Schutzgrenzen und entsprechende Anwendung der §§ 5–12 IFG Berlin. § 2 Absatz 2 VwVfG BE betrifft bestimmte Bildungsangelegenheiten und ist keine allgemeine Polizeirechtsausnahme. Strafprozessuale Akteneinsicht bleibt eigenständig. Nach § 50 Absatz 4 ASOG ist bei anhängigen strafrechtlichen Ermittlungsverfahren die Zustimmung der Staatsanwaltschaft vor Auskunft zu beachten.</w:t>
      </w:r>
    </w:p>
    <w:p>
      <w:pPr>
        <w:pStyle w:val="Heading2"/>
      </w:pPr>
      <w:r>
        <w:t>1.13.5. Rechtsweg und Fristen</w:t>
      </w:r>
    </w:p>
    <w:p>
      <w:r>
        <w:t>§ 31 Absatz 1 verlangt unverzügliche richterliche Entscheidung, vorbehaltlich seiner engen Ausnahme. Bei Erledigung vor richterlicher Entscheidung enthält Absatz 2 einen Feststellungsantrag bei berechtigtem Interesse innerhalb eines Monats nach Beendigung. Absatz 3 regelt Beschwerde zum Landgericht Berlin II und die gesetzlich gebundene Rechtsbeschwerde. § 65 bestimmt grundsätzlich Amtsgericht Tiergarten; die dort ausdrücklich bezeichneten besonderen Datenmaßnahmen sind dem Landgericht Berlin I zugewiesen. FamFG-Verweisung in § 65 Absatz 3 beachten.</w:t>
      </w:r>
    </w:p>
    <w:p>
      <w:r>
        <w:t>§ 33 Absatz 2 erlaubt qualifizierte gerichtliche Fortdauer nur unter seinen besonderen Voraussetzungen, bis zu sieben Tagen bei dort bezeichneten terroristischen Straftaten und bis zu fünf Tagen bei den anderen dort genannten qualifizierten Fällen. Absatz 3 begrenzt Freiheitsentziehung zur Identitätsfeststellung auf höchstens zwölf Stunden. Jede Maßnahme endet vorher, wenn ihr Grund weggefallen ist. Diese Grenzen sind keine Standarddauer und kein Ersatz unverzüglicher Richterkontrolle.</w:t>
      </w:r>
    </w:p>
    <w:p>
      <w:r>
        <w:t xml:space="preserve">§ 65a: ordentlicher Rechtsweg für dort bezeichneten Schadensausgleich und Entschädigung; Verwaltungsrechtsweg für Aufwendungsersatz nach §§ 63 und 64. § 67: besondere Widerspruchszuständigkeit; Polizei und Bezirksamt nicht gleichsetzen. § 8 VwVfG BE vermittelt Berliner Anwendung des Bundes-VwVG mit Maßgaben; unmittelbarer Zwang nach UZwG Bln. </w:t>
      </w:r>
      <w:hyperlink r:id="rId18" w:history="1">
        <w:r>
          <w:rPr>
            <w:rFonts w:ascii="Times New Roman" w:hAnsi="Times New Roman"/>
            <w:sz w:val="22"/>
            <w:color w:val="1F4E79"/>
            <w:u w:val="single"/>
          </w:rPr>
          <w:t>VwGO</w:t>
        </w:r>
      </w:hyperlink>
      <w:r>
        <w:t xml:space="preserve">, </w:t>
      </w:r>
      <w:hyperlink r:id="rId19" w:history="1">
        <w:r>
          <w:rPr>
            <w:rFonts w:ascii="Times New Roman" w:hAnsi="Times New Roman"/>
            <w:sz w:val="22"/>
            <w:color w:val="1F4E79"/>
            <w:u w:val="single"/>
          </w:rPr>
          <w:t>FamFG</w:t>
        </w:r>
      </w:hyperlink>
      <w:r>
        <w:t xml:space="preserve">, </w:t>
      </w:r>
      <w:hyperlink r:id="rId20" w:history="1">
        <w:r>
          <w:rPr>
            <w:rFonts w:ascii="Times New Roman" w:hAnsi="Times New Roman"/>
            <w:sz w:val="22"/>
            <w:color w:val="1F4E79"/>
            <w:u w:val="single"/>
          </w:rPr>
          <w:t>StPO</w:t>
        </w:r>
      </w:hyperlink>
      <w:r>
        <w:t xml:space="preserve"> und </w:t>
      </w:r>
      <w:hyperlink r:id="rId21" w:history="1">
        <w:r>
          <w:rPr>
            <w:rFonts w:ascii="Times New Roman" w:hAnsi="Times New Roman"/>
            <w:sz w:val="22"/>
            <w:color w:val="1F4E79"/>
            <w:u w:val="single"/>
          </w:rPr>
          <w:t>Grundgesetz</w:t>
        </w:r>
      </w:hyperlink>
      <w:r>
        <w:t xml:space="preserve"> stets gegen den konkreten Verfahrensstand lesen.</w:t>
      </w:r>
    </w:p>
    <w:p>
      <w:pPr>
        <w:pStyle w:val="Heading2"/>
      </w:pPr>
      <w:r>
        <w:t>1.13.6. Verifikationsgrenzen</w:t>
      </w:r>
    </w:p>
    <w:p>
      <w:r>
        <w:t>Die Werkstatt dokumentiert fallbezogen geprüfte Normpassagen und Entscheidungen. Sie behauptet weder eine lückenlose Rechtsprechungsrecherche noch die Lösung jedes Spezialrechtsfalls. Bei späterer Verwendung werden Geltungsstand, aktueller Wortlaut, gerichtlicher Fortgang und konkret örtliche Zuständigkeit erneut verifiziert. Literatur aus bloßer Erinnerung wird nicht als geprüfte Quelle ausgegeben. Die Quellenprüfung und technische Schwierigkeiten stehen intern, nicht im versandfertigen Empfängertext.</w:t>
      </w:r>
    </w:p>
    <w:p>
      <w:pPr>
        <w:pStyle w:val="Heading1"/>
      </w:pPr>
      <w:r>
        <w:t>1.14. Amtliche Entscheidungsanker nach ihrem konkreten Prüfpunkt</w:t>
      </w:r>
    </w:p>
    <w:p>
      <w:pPr>
        <w:pStyle w:val="Heading2"/>
      </w:pPr>
      <w:r>
        <w:t>1.14.1. wohnung2025</w:t>
      </w:r>
    </w:p>
    <w:p>
      <w:r/>
      <w:hyperlink r:id="rId22" w:history="1">
        <w:r>
          <w:rPr>
            <w:rFonts w:ascii="Times New Roman" w:hAnsi="Times New Roman"/>
            <w:sz w:val="22"/>
            <w:color w:val="1F4E79"/>
            <w:u w:val="single"/>
          </w:rPr>
          <w:t>BVerfG, Beschluss vom 30.09.2025 – 2 BvR 460/25</w:t>
        </w:r>
      </w:hyperlink>
      <w:r>
        <w:t>, Rn. 24, 27–30, 34–46, 48–53.</w:t>
      </w:r>
    </w:p>
    <w:p>
      <w:r>
        <w:t>Tragender Prüfpunkt: Wohnraum in einer Gemeinschaftsunterkunft ist geschützt. Zielgerichtetes Aufspüren einer Person verlangt eine vorausschauende Prüfung des Durchsuchungscharakters und grundsätzlich vorherige richterliche Kontrolle.</w:t>
      </w:r>
    </w:p>
    <w:p>
      <w:r>
        <w:t>Übertragungsgrenze: Abschiebungsfall nach AufenthG; dessen Zuständigkeit und Ermächtigung nicht als ASOG-Norm übertragen. Keine automatische Rechtswidrigkeit jeder Begleitmaßnahme.</w:t>
      </w:r>
    </w:p>
    <w:p>
      <w:pPr>
        <w:pStyle w:val="Heading2"/>
      </w:pPr>
      <w:r>
        <w:t>1.14.2. wohnung2026</w:t>
      </w:r>
    </w:p>
    <w:p>
      <w:r/>
      <w:hyperlink r:id="rId23" w:history="1">
        <w:r>
          <w:rPr>
            <w:rFonts w:ascii="Times New Roman" w:hAnsi="Times New Roman"/>
            <w:sz w:val="22"/>
            <w:color w:val="1F4E79"/>
            <w:u w:val="single"/>
          </w:rPr>
          <w:t>OVG Berlin-Brandenburg, Urteil vom 24.03.2026 – OVG 3 B 20/25</w:t>
        </w:r>
      </w:hyperlink>
      <w:r>
        <w:t>, Entscheidungsgründe 1 und 2; amtliche HTML-Fassung ohne ausgewiesene Randnummern.</w:t>
      </w:r>
    </w:p>
    <w:p>
      <w:r>
        <w:t>Tragender Prüfpunkt: Nach Zurückverweisung bleibt die Wohnungsdurchsuchung rechtswidrig; die verfassungsgerichtliche Aufhebung erfasst nicht automatisch den bereits rechtskräftigen anderen Streitgegenstand zur Sicherstellung.</w:t>
      </w:r>
    </w:p>
    <w:p>
      <w:r>
        <w:t>Übertragungsgrenze: Kein neues Gesamturteil über die materielle Rechtmäßigkeit sämtlicher Sicherstellungen. Den Umfang von Tenor und Gründen getrennt lesen.</w:t>
      </w:r>
    </w:p>
    <w:p>
      <w:pPr>
        <w:pStyle w:val="Heading2"/>
      </w:pPr>
      <w:r>
        <w:t>1.14.3. reste2026</w:t>
      </w:r>
    </w:p>
    <w:p>
      <w:r/>
      <w:hyperlink r:id="rId24" w:history="1">
        <w:r>
          <w:rPr>
            <w:rFonts w:ascii="Times New Roman" w:hAnsi="Times New Roman"/>
            <w:sz w:val="22"/>
            <w:color w:val="1F4E79"/>
            <w:u w:val="single"/>
          </w:rPr>
          <w:t>OVG Berlin-Brandenburg, Beschluss vom 23.07.2026 – OVG 6 S 181/26</w:t>
        </w:r>
      </w:hyperlink>
      <w:r>
        <w:t>, Gründe 1–3; amtliche HTML-Fassung ohne ausgewiesene Randnummern.</w:t>
      </w:r>
    </w:p>
    <w:p>
      <w:r>
        <w:t>Tragender Prüfpunkt: Herausgabe einer noch existierenden Sache, Erlös und Reste nach rechtskräftig angeordneter Vernichtung sind verschiedene Begehren. Ein bloß einfach signierter Schriftsatz aus einem fremden beA genügt nicht ohne verantwortliche Übernahme; technische Ersatzeinreichung konkret glaubhaft machen.</w:t>
      </w:r>
    </w:p>
    <w:p>
      <w:r>
        <w:t>Übertragungsgrenze: Beschwerdeprüfung anhand der dargelegten Gründe und tatsächliche fehlende Identifizierbarkeit der Reste. Keine pauschale Ermächtigung zur Vernichtung und keine Aussage, dass jede Sicherstellung Eigentum entzieht.</w:t>
      </w:r>
    </w:p>
    <w:p>
      <w:pPr>
        <w:pStyle w:val="Heading2"/>
      </w:pPr>
      <w:r>
        <w:t>1.14.4. kurzerledigt2024</w:t>
      </w:r>
    </w:p>
    <w:p>
      <w:r/>
      <w:hyperlink r:id="rId25" w:history="1">
        <w:r>
          <w:rPr>
            <w:rFonts w:ascii="Times New Roman" w:hAnsi="Times New Roman"/>
            <w:sz w:val="22"/>
            <w:color w:val="1F4E79"/>
            <w:u w:val="single"/>
          </w:rPr>
          <w:t>BVerwG, Urteil vom 24.04.2024 – 6 C 2.22</w:t>
        </w:r>
      </w:hyperlink>
      <w:r>
        <w:t>, Urteil Rn. 16–27 und 31–38; nicht den auf derselben Seite vorangestellten Anfragebeschluss verwechseln.</w:t>
      </w:r>
    </w:p>
    <w:p>
      <w:r>
        <w:t>Tragender Prüfpunkt: Kurzfristige Erledigung genügt außerhalb anderer anerkannter Interessen nicht allein; qualifizierten Grundrechtseingriff oder konkrete Wiederholungsgefahr, Rehabilitation oder präjudizielle Bedeutung prüfen.</w:t>
      </w:r>
    </w:p>
    <w:p>
      <w:r>
        <w:t>Übertragungsgrenze: NRW-Aufenthaltsverbot; weder Berliner Eingriffstatbestand noch genereller Ausschluss nachträglichen Rechtsschutzes.</w:t>
      </w:r>
    </w:p>
    <w:p>
      <w:pPr>
        <w:pStyle w:val="Heading2"/>
      </w:pPr>
      <w:r>
        <w:t>1.14.5. versammlung2024</w:t>
      </w:r>
    </w:p>
    <w:p>
      <w:r/>
      <w:hyperlink r:id="rId26" w:history="1">
        <w:r>
          <w:rPr>
            <w:rFonts w:ascii="Times New Roman" w:hAnsi="Times New Roman"/>
            <w:sz w:val="22"/>
            <w:color w:val="1F4E79"/>
            <w:u w:val="single"/>
          </w:rPr>
          <w:t>BVerwG, Urteil vom 27.03.2024 – 6 C 1.22</w:t>
        </w:r>
      </w:hyperlink>
      <w:r>
        <w:t>, Rn. 35–67 sowie 68–83.</w:t>
      </w:r>
    </w:p>
    <w:p>
      <w:r>
        <w:t>Tragender Prüfpunkt: Kommunikative Blockade nicht vorschnell aus dem Versammlungsbegriff herausdefinieren. Die Ausnahme bei von Anfang an durchgehend unfriedlicher Versammlung ist eng; Dauer und Modalitäten des Gewahrsams bleiben eigenständig aufzuklären.</w:t>
      </w:r>
    </w:p>
    <w:p>
      <w:r>
        <w:t>Übertragungsgrenze: Fall aus Baden-Württemberg unter Bundes-VersG und damaligem Landesrecht. Berliner VersFG und Berliner Rechtswegzuweisung separat; keine Kollektivhaftung friedlicher Teilnehmender.</w:t>
      </w:r>
    </w:p>
    <w:p>
      <w:pPr>
        <w:pStyle w:val="Heading2"/>
      </w:pPr>
      <w:r>
        <w:t>1.14.6. beifang2025</w:t>
      </w:r>
    </w:p>
    <w:p>
      <w:r/>
      <w:hyperlink r:id="rId27" w:history="1">
        <w:r>
          <w:rPr>
            <w:rFonts w:ascii="Times New Roman" w:hAnsi="Times New Roman"/>
            <w:sz w:val="22"/>
            <w:color w:val="1F4E79"/>
            <w:u w:val="single"/>
          </w:rPr>
          <w:t>BVerwG, Urteil vom 02.12.2025 – 6 C 1.25</w:t>
        </w:r>
      </w:hyperlink>
      <w:r>
        <w:t>, Rn. 11–21.</w:t>
      </w:r>
    </w:p>
    <w:p>
      <w:r>
        <w:t>Tragender Prüfpunkt: Historischen Zeitpunkt der Datenerhebung bestimmen, Kombination von Observation und Bildaufzeichnung erfassen, konkretisierte Gefahr und die notwendige Miterfassung Dritter jeweils prüfen.</w:t>
      </w:r>
    </w:p>
    <w:p>
      <w:r>
        <w:t>Übertragungsgrenze: NRW-Altnormen und verfassungsgerichtliche Übergangsmaßgabe bis Ende 2025. Keine Übertragung der abgelaufenen Fortgeltung auf Berlin 2026.</w:t>
      </w:r>
    </w:p>
    <w:p>
      <w:pPr>
        <w:pStyle w:val="Heading2"/>
      </w:pPr>
      <w:r>
        <w:t>1.14.7. observation2024</w:t>
      </w:r>
    </w:p>
    <w:p>
      <w:r/>
      <w:hyperlink r:id="rId28" w:history="1">
        <w:r>
          <w:rPr>
            <w:rFonts w:ascii="Times New Roman" w:hAnsi="Times New Roman"/>
            <w:sz w:val="22"/>
            <w:color w:val="1F4E79"/>
            <w:u w:val="single"/>
          </w:rPr>
          <w:t>BVerfG, Beschluss vom 14.11.2024 – 1 BvL 3/22</w:t>
        </w:r>
      </w:hyperlink>
      <w:r>
        <w:t>, Rn. 87–107 und 110–112.</w:t>
      </w:r>
    </w:p>
    <w:p>
      <w:r>
        <w:t>Tragender Prüfpunkt: Kombinierte längerfristige Observation und Bildaufzeichnung hat hohes Eingriffsgewicht; hinreichend bestimmte, mindestens konkretisierte Gefahr als Maßstab der geprüften Kombination.</w:t>
      </w:r>
    </w:p>
    <w:p>
      <w:r>
        <w:t>Übertragungsgrenze: Verfassungswidrigkeit konkret bezeichneter NRW-Vorschriften; keine automatische Nichtigkeit der neu gefassten Berliner Datenbefugnisse.</w:t>
      </w:r>
    </w:p>
    <w:p>
      <w:pPr>
        <w:pStyle w:val="Heading2"/>
      </w:pPr>
      <w:r>
        <w:t>1.14.8. speicherung2024</w:t>
      </w:r>
    </w:p>
    <w:p>
      <w:r/>
      <w:hyperlink r:id="rId29" w:history="1">
        <w:r>
          <w:rPr>
            <w:rFonts w:ascii="Times New Roman" w:hAnsi="Times New Roman"/>
            <w:sz w:val="22"/>
            <w:color w:val="1F4E79"/>
            <w:u w:val="single"/>
          </w:rPr>
          <w:t>BVerfG, Urteil vom 01.10.2024 – 1 BvR 1160/19</w:t>
        </w:r>
      </w:hyperlink>
      <w:r>
        <w:t>, Rn. 132–153 sowie 156–193; Leitsätze 2 und 3.</w:t>
      </w:r>
    </w:p>
    <w:p>
      <w:r>
        <w:t>Tragender Prüfpunkt: Zweckerreichung, zweckändernde Nutzung und vorsorgende Speicherung unterscheiden. Speicherung benötigt tragfähige Schwellen, individuelle Prognose und angemessene Dauer; alte Prognosen nicht automatisch fortschreiben.</w:t>
      </w:r>
    </w:p>
    <w:p>
      <w:r>
        <w:t>Übertragungsgrenze: BKAG-Verfahren mit eigenem Tenor. ASOG/BlnDSG und konkrete Datei separat prüfen; nicht jede Verfahrenseinstellung führt ausnahmslos zur Löschung.</w:t>
      </w:r>
    </w:p>
    <w:p>
      <w:pPr>
        <w:pStyle w:val="Heading2"/>
      </w:pPr>
      <w:r>
        <w:t>1.14.9. herausgabe2018</w:t>
      </w:r>
    </w:p>
    <w:p>
      <w:r/>
      <w:hyperlink r:id="rId30" w:history="1">
        <w:r>
          <w:rPr>
            <w:rFonts w:ascii="Times New Roman" w:hAnsi="Times New Roman"/>
            <w:sz w:val="22"/>
            <w:color w:val="1F4E79"/>
            <w:u w:val="single"/>
          </w:rPr>
          <w:t>OVG Berlin-Brandenburg, Urteil vom 15.11.2018 – OVG 1 B 2.18</w:t>
        </w:r>
      </w:hyperlink>
      <w:r>
        <w:t>, Leitsätze 1 und 2; Entscheidungsgründe zur Herausgabe, amtliches HTML ohne Randnummern.</w:t>
      </w:r>
    </w:p>
    <w:p>
      <w:r>
        <w:t>Tragender Prüfpunkt: Die Rückgabe an den früheren Gewahrsamsinhaber ist von der Prüfung einer anderen berechtigten Person zu unterscheiden; Eigentumsnachweis nicht reflexhaft als einzige Rückgabevoraussetzung behandeln.</w:t>
      </w:r>
    </w:p>
    <w:p>
      <w:r>
        <w:t>Übertragungsgrenze: Brandenburgisches Polizeigesetz. Damals herangezogene Berliner Parallele nicht über spätere Änderungen von § 41 ASOG hinweg anwenden; heutige Verweigerungsgründe prüfen.</w:t>
      </w:r>
    </w:p>
    <w:p>
      <w:pPr>
        <w:pStyle w:val="Heading2"/>
      </w:pPr>
      <w:r>
        <w:t>1.14.10. stpo2018</w:t>
      </w:r>
    </w:p>
    <w:p>
      <w:r/>
      <w:hyperlink r:id="rId31" w:history="1">
        <w:r>
          <w:rPr>
            <w:rFonts w:ascii="Times New Roman" w:hAnsi="Times New Roman"/>
            <w:sz w:val="22"/>
            <w:color w:val="1F4E79"/>
            <w:u w:val="single"/>
          </w:rPr>
          <w:t>OVG Berlin-Brandenburg, Beschluss vom 25.04.2018 – OVG 12 S 18.18</w:t>
        </w:r>
      </w:hyperlink>
      <w:r>
        <w:t>, Gründe, Absätze beginnend „§ 41 Abs. 1 ASOG regelt“ und „Waren Gegenstände zur Beweissicherung“; HTML ohne Randnummern.</w:t>
      </w:r>
    </w:p>
    <w:p>
      <w:r>
        <w:t>Tragender Prüfpunkt: Eine strafprozessuale Beschlagnahme wird nach Freigabe nicht durch analoge Anwendung von § 41 ASOG fortgesetzt. Für neue präventive Verwahrung braucht es eine eigenständige tragfähige Grundlage.</w:t>
      </w:r>
    </w:p>
    <w:p>
      <w:r>
        <w:t>Übertragungsgrenze: Besonderer Präparatefall; VG-Rechtsweg im konkreten Beschwerdeverfahren aufgrund § 17a Absatz 5 GVG bindend, kein allgemeiner VG-Rechtsweg für strafprozessuale Rückgaben.</w:t>
      </w:r>
    </w:p>
    <w:p>
      <w:pPr>
        <w:pStyle w:val="Heading1"/>
      </w:pPr>
      <w:r>
        <w:t>1.15. Vollständige Produkte an den drei Arbeitslagen entwickeln</w:t>
      </w:r>
    </w:p>
    <w:p>
      <w:pPr>
        <w:pStyle w:val="Heading2"/>
      </w:pPr>
      <w:r>
        <w:t>1.15.1. Parkpicknick: zwei Zeitebenen in einem sachlichen Schreiben</w:t>
      </w:r>
    </w:p>
    <w:p>
      <w:r>
        <w:t>Die Ausgangsakte enthält eine beendete Wegweisung und eine spätere Formulierung zu weiteren Treffen. Halten Sie beide Ebenen auseinander. Der erste Entwurf beschreibt zunächst, wann die Mandantin die aktuelle Fläche verlassen sollte und dass die Anordnung nach der vorliegenden Bestätigung bis 22 Uhr galt. Anschließend benennt er den unklaren Zukunftshinweis wörtlich nur soweit erforderlich und fragt nach dessen objektivem Regelungsgehalt. Er erklärt das konkrete Interesse: Die nächste private Nachbarschaftsrunde soll planbar sein, ohne den Weg zu beeinträchtigen.</w:t>
      </w:r>
    </w:p>
    <w:p>
      <w:r>
        <w:t>Die Mandantin darf bestreiten, dass alle Teilnehmer einen Weg blockierten. Aus den Unterlagen folgt aber keine sichere durchgehende freie Wegbreite am Veranstaltungstag. Deshalb wird der Entwurf nicht mit einer absoluten Entlastungsbehauptung beginnen. Er kann darstellen, welche Gegenstände nach der ersten Aufforderung bewegt wurden, wer dies wahrnahm und welche Tatsachen ungeklärt sind. Die spätere Messnotiz dient der künftigen Organisation und möglicherweise der Plausibilität; sie ersetzt keine zeitgleiche Vermessung.</w:t>
      </w:r>
    </w:p>
    <w:p>
      <w:r>
        <w:t>Das vollständige Schreiben bittet um eine klare Aussage, ob eine neue verbindliche Beschränkung besteht. Es regt gegebenenfalls einen tatsächlich freien Durchgang und eine erreichbare Ansprechperson an. Es verlangt die entscheidenden Unterlagen, soweit für die Prüfung erforderlich. Eine bereits erkennbare Rechtsbehelfsfrist wird parallel geprüft. Das Schreiben endet mit einer begründeten Antwortbitte vor der praktischen Organisationsentscheidung, ohne aus der privaten Frist eine gesetzliche Ausschlusswirkung zu erfinden.</w:t>
      </w:r>
    </w:p>
    <w:p>
      <w:r>
        <w:t>Falls die Antwort ausdrücklich erklärt, es gebe kein fortdauerndes Verbot, wird der Entwurf für das nächste Treffen entsprechend vereinfacht. Ob die Vergangenheit noch gerichtlich geklärt werden soll, bleibt ein gesondertes Mandatsziel mit Zulässigkeitsprüfung. Falls stattdessen ein konkret befristetes Aufenthaltsverbot erklärt wird, ändern sich Tatbestand, Prognoseprüfung und Rechtsschutz. Die Werkstatt schreibt dann diesen neuen Arbeitsstand fort; sie wiederholt nicht bloß die erste Anfrage.</w:t>
      </w:r>
    </w:p>
    <w:p>
      <w:pPr>
        <w:pStyle w:val="Heading2"/>
      </w:pPr>
      <w:r>
        <w:t>1.15.2. Lastenrad: aktuelle Herausgabe statt vorschneller Gesamterledigung</w:t>
      </w:r>
    </w:p>
    <w:p>
      <w:r>
        <w:t>Lesen Sie Kaufvertrag, Entleihbestätigung, Seriennummernbefund und Verwahrmitteilung zusammen. Die Eigentümerstellung des Auftraggebers und der tatsächliche Gewahrsam der Entleiherin sind unterschiedliche Anknüpfungen. Das Rückgabebegehren soll daher nicht allein behaupten, nur der Eigentümer könne empfangen. Es erklärt, wer das Rad zuletzt innehatte und ob die praktische Übergabe direkt an eine andere berechtigte Person erfolgen soll. Eine Erklärung zur Abholung wird nicht als Verzicht auf alle übrigen Rechte ausgelegt.</w:t>
      </w:r>
    </w:p>
    <w:p>
      <w:r>
        <w:t>Die inzwischen geklärte Endziffer der Seriennummer ist ein starkes konkretes Argument gegen eine fortdauernde Verwechslung. Sie beweist jedoch nicht notwendig jede Eigentumstatsache und hebt eine noch tatsächlich bestehende Gefahr nicht durch bloßen Automatismus auf. Verlangen Sie die aktuelle Erklärung des Sicherungszwecks und legen Sie die verfügbaren Zuordnungsbelege bei. Eine angekündigte Rückfrage bei einer dritten Person darf sachlich nachgehalten werden. Ob deren Dauer noch verhältnismäßig ist, hängt vom verbleibenden Anlass und der aktuellen Belastung ab.</w:t>
      </w:r>
    </w:p>
    <w:p>
      <w:r>
        <w:t>Der Brief enthält das konkrete Begehren auf kurzfristige Prüfung und Herausgabe, eine praktikable Abholoption und die Bitte um Bestätigung des Inventars. Zwei Schlüssel und ein Spanngurt werden als tatsächliche Verwahrpositionen behandelt. Bereits beschädigte Teile werden nicht ohne Anhaltspunkt der Verwahrung zugerechnet. Ein Mietangebot für einen Ersatz ist eine verfügbare Alternative und ein Kostenrisiko; erst eine tatsächliche verbindliche Buchung und weitere Anspruchsvoraussetzungen tragen eine konkrete Schadensposition.</w:t>
      </w:r>
    </w:p>
    <w:p>
      <w:r>
        <w:t>Falls die Stelle Kosten ankündigt, wird nach Rechtsgrundlage, Gegenstand und gegebenenfalls förmlicher Entscheidung gefragt. Der Entwurf erklärt nicht fälschlich Widerspruch gegen einen noch nicht erlassenen Kostenbescheid. Entsteht später ein Bescheid, wird dessen Datum, Bekanntgabe, Tarifgrundlage und Vollziehbarkeit geprüft. Für die Herausgabe bleibt § 41 Absatz 1 maßgeblich; Kosten gehören in der aktuellen Fassung zu Absatz 4. Ein historisches Urteil mit alter Absatznummer wird auf den heutigen Regelungsgegenstand abgeglichen.</w:t>
      </w:r>
    </w:p>
    <w:p>
      <w:pPr>
        <w:pStyle w:val="Heading2"/>
      </w:pPr>
      <w:r>
        <w:t>1.15.3. Kiezfest: falsche Verbindung gezielt berichtigen</w:t>
      </w:r>
    </w:p>
    <w:p>
      <w:r>
        <w:t>Vergleichen Sie den eigenen Namen, das gesicherte Geburtsdatum, die eigene Tätigkeit beim Fest und den fremden Datensatzbezug. Vermeiden Sie jede Behauptung, der andere Namensträger habe tatsächlich eine bestimmte Straftat begangen. Die eigene Beschwerde betrifft zunächst die Zuordnung. Das fremde Aktenzeichen kann den zu korrigierenden Datensatz identifizierbar machen, ohne einen Anspruch auf Offenlegung sämtlicher fremder Daten zu begründen.</w:t>
      </w:r>
    </w:p>
    <w:p>
      <w:r>
        <w:t>Das vollständige Schreiben beschreibt den konkreten Widerspruch, benennt die belegte eigene Identität und verlangt eine sachgerechte Prüfung von Berichtigung oder Aufhebung der Verbindung. Bei ungeklärter Richtigkeit wird die gesetzliche Einschränkung der Verarbeitung mitbehandelt. Der bereits eingegangene Hinweis, die Sache werde geprüft, bestätigt nicht von selbst, dass die Verknüpfung technisch beschränkt ist. Eine kurze präzise Rückfrage nach dem tatsächlichen Bearbeitungs- und Beschränkungsstand ist deshalb sinnvoller als die unbelegte Behauptung einer schon erfolgten Sperrung.</w:t>
      </w:r>
    </w:p>
    <w:p>
      <w:r>
        <w:t>Die Bitte um Auskunft kann die eigenen Daten, Zwecke, einschlägigen Speichergrundlagen, Empfängerinformationen und den Bearbeitungsstand im rechtlich zulässigen Umfang betreffen. Welches Regime anwendbar ist, muss anhand des Verarbeitungszwecks bestimmt werden. Die Werkstatt verwendet nicht einfach das gesamte DSGVO-Vokabular für jede Polizeiverarbeitung. Eine spätere Nachweisforderung wird auf notwendige Identifizierung geprüft und datensparsam beantwortet. Eine geschützte dritte Person darf dabei nicht durch die Hintertür offengelegt werden.</w:t>
      </w:r>
    </w:p>
    <w:p>
      <w:r>
        <w:t>Nach behördlicher Korrektur wird geprüft, was tatsächlich berichtigt wurde und ob eine zuvor erfolgte Übermittlung gesonderte Folgemaßnahmen erfordert. Die Mandantin erhält einen verständlichen Abschlussvermerk und gegebenenfalls eine gezielte Nachfrage. Die allgemeine Freude über eine freundliche Antwort ersetzt nicht den Blick auf den bearbeiteten Datensatz. Andererseits wird nicht ohne tatsächlichen Anhaltspunkt ein neuer, weitergehender Konflikt konstruiert.</w:t>
      </w:r>
    </w:p>
    <w:p>
      <w:pPr>
        <w:pStyle w:val="Heading1"/>
      </w:pPr>
      <w:r>
        <w:t>1.16. Quellen, Endkontrolle und praktische Übergabe</w:t>
      </w:r>
    </w:p>
    <w:p>
      <w:pPr>
        <w:pStyle w:val="Heading2"/>
      </w:pPr>
      <w:r>
        <w:t>1.16.1. Jede tragende Rechtsaussage ihrem Beleg zuordnen</w:t>
      </w:r>
    </w:p>
    <w:p>
      <w:r>
        <w:t>Prüfen Sie Gericht, Entscheidungsart, Datum, Aktenzeichen, Tenor und die tatsächlich tragenden Gründe. Eine amtliche Seite kann mehrere Entscheidungen zum selben Verfahren enthalten. Beim BVerwG-Verfahren 6 C 2.22 steht auf der Seite auch ein früherer Anfragebeschluss; Randnummern des endgültigen Urteils dürfen nicht mit denen des vorangestellten Beschlusses verwechselt werden. Enthält die amtliche HTML-Fassung keine Randnummern, zitieren Sie vorhandene Gliederung oder einen identifizierenden Absatzanfang und erfinden keine Zahlen.</w:t>
      </w:r>
    </w:p>
    <w:p>
      <w:r>
        <w:t>Benennen Sie die Übertragungsgrenze im internen Vermerk und bei entscheidender Bedeutung auch in der Begründung. Ein Urteil zum brandenburgischen Polizeigesetz kann die Struktur der Rückgabe erklären, setzt aber weder Berliner Absatznummern noch aktuelle Verweigerungsgründe außer Kraft. Ein Urteil zu 2015 erhobenen Daten unter verfassungsgerichtlicher Übergangsmaßgabe liefert keine fortgeltende Erlaubnis für eine Berliner Maßnahme 2026. Eine aktuelle Jahreszahl macht einen Fall nicht automatisch für jede Frage einschlägig.</w:t>
      </w:r>
    </w:p>
    <w:p>
      <w:r>
        <w:t>Normen werden nach konkretem Geltungsstand gelesen. In einer amtlichen Gesamtausgabe kann eine Änderung bereits im Kopf berücksichtigt sein, obwohl einzelne Regeln ein späteres Inkrafttreten haben. Lesen Sie erforderlichenfalls Verkündungsblatt und Inkrafttretensbestimmung. Historische Fassungen gehören zu historischen Maßnahmen; aktuelle Fortdauer und Folgeverarbeitung erhalten einen eigenen Abgleich. Wenn eine Quelle technisch nicht erreichbar ist, wird dies intern dokumentiert und die Aussage anhand anderer tragfähiger Primärquellen begrenzt. Ein Suchtreffer oder eine Pressemitteilung wird nicht als gelesener Entscheidungsgrund ausgegeben.</w:t>
      </w:r>
    </w:p>
    <w:p>
      <w:pPr>
        <w:pStyle w:val="Heading2"/>
      </w:pPr>
      <w:r>
        <w:t>1.16.2. Rechnen und Anlagen kontrollieren</w:t>
      </w:r>
    </w:p>
    <w:p>
      <w:r>
        <w:t>Tabellen können Chronologie, Inventar und Alternativkosten verständlich machen. Prüfen Sie Eingaben und Formeln getrennt. Die Zahl der Tage seit einer E-Mail ist zunächst ein rechnerischer Zeitraum und nicht automatisch eine gesetzliche Frist. Mietpreis mal Nutzungstage plus Anlieferung ist ein Szenario, solange die Buchung offen ist. Eine Wegbreite in einer Tabelle beweist nur die dokumentierte Messung unter den angegebenen Umständen. Übertragen Sie Ergebnisse mit ihrem Status in den Text.</w:t>
      </w:r>
    </w:p>
    <w:p>
      <w:r>
        <w:t>Vor Übergabe muss jede genannte Anlage tatsächlich vorhanden, lesbar und dem richtigen Satz zugeordnet sein. Dateiname und Inhalt dürfen nicht verwechselt werden. Eine Quelle in einem internen Rechtsvermerk wird nicht ohne Auftrag als personenbezogene Anlage an eine Behörde übersandt. Fremde Kontaktdaten, Geburtsdaten und vertrauliche Mitteilungen werden nur soweit erforderlich übernommen. Die Anlagenliste ist vollständig genug zur Nachvollziehbarkeit, aber kein ungefilterter Export des gesamten Arbeitsordners.</w:t>
      </w:r>
    </w:p>
    <w:p>
      <w:r>
        <w:t>Stimmen Antrag und Begründung nicht überein, wird zuerst der materielle Widerspruch behoben. Ein Antrag auf Herausgabe an Person A mit einer ausschließlich für Person B erklärten Abholbefugnis ist nicht durch hübsches Layout heilbar. Ein Eilantrag, der das gesamte beendete Ereignis schildert, aber keinen aktuellen Nachteil beschreibt, braucht eine neue rechtliche Fassung. Ein Löschungsbegehren, das zugleich die dauerhafte Aufbewahrung aller eigenen Daten zu Beweiszwecken verlangt, muss den gewünschten Zweck und gegebenenfalls eine Einschränkung präzisieren.</w:t>
      </w:r>
    </w:p>
    <w:p>
      <w:pPr>
        <w:pStyle w:val="Heading2"/>
      </w:pPr>
      <w:r>
        <w:t>1.16.3. Fertiges Ergebnis, offener Punkt und nächste Handlung</w:t>
      </w:r>
    </w:p>
    <w:p>
      <w:r>
        <w:t>Liefern Sie das beauftragte Dokument in vollständigen ausformulierten Sätzen. Reine Stichwortlisten und Lückengerüste sind kein Endprodukt. Eine unvermeidbar offene Angabe wird klar markiert und ihre Bedeutung in einer getrennten Übergabenotiz erklärt. Der Empfängertext enthält keine internen Werkzeugmeldungen, Modellhinweise oder unverbundenen Recherchelisten. Bei Office-Export gilt soweit technisch möglich Times New Roman 11 pt; verwenden Sie eine nachvollziehbare dezimale Gliederung und zurückhaltende Tabellen.</w:t>
      </w:r>
    </w:p>
    <w:p>
      <w:r>
        <w:t>Die Übergabenotiz unterscheidet fertige Fassung, konkret noch erforderlichen Beleg und nächste Handlung. Sie benennt gesetzliche Fristen mit ihrer Herleitung und unsichere Daten mit der richtigen Vorsicht. Eine Entwurfsdatei wird nicht als versandt bezeichnet. Ein Versandprotokoll wird nicht als gerichtliche Sachentscheidung dargestellt. Wenn ein zugelassener Kommunikationsweg fehlt, bleibt der Entwurf dennoch vollständig und übergabefähig; die technische Grenze wird präzise erklärt.</w:t>
      </w:r>
    </w:p>
    <w:p>
      <w:r>
        <w:t>Eine spätere Antwort wird in denselben Vorgang eingearbeitet. Prüfen Sie zuerst, ob das Ziel erreicht, teilweise erreicht, abgelehnt oder durch eine neue Maßnahme verändert wurde. Daraus folgt die nächste gezielte Bearbeitung. Die Werkstatt soll weder nach jedem Eingang erneut von vorn beginnen noch einen unpassenden ersten Plan gegen neue Tatsachen verteidigen. Erfolgreich ist der Arbeitsgang, wenn die Mandantin ein brauchbares, belegtes Ergebnis und einen klaren nächsten Schritt hat, der ihrem tatsächlichen Auftrag entspricht.</w:t>
      </w:r>
    </w:p>
    <w:sectPr w:rsidR="00FC693F" w:rsidRPr="0006063C" w:rsidSect="00034616">
      <w:footerReference w:type="default" r:id="rId32"/>
      <w:pgSz w:w="11906" w:h="16838"/>
      <w:pgMar w:top="1247" w:right="1361" w:bottom="1247" w:left="136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1. Berliner ASOG-Werkstatt aus Betroffenen- und Beratungssicht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6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60" w:line="276" w:lineRule="auto"/>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80" w:after="160" w:line="276"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80" w:after="160" w:line="276" w:lineRule="auto"/>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60" w:line="276" w:lineRule="auto" w:before="280"/>
      <w:contextualSpacing/>
    </w:pPr>
    <w:rPr>
      <w:rFonts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esetze.berlin.de/perma?j=ASOG_BE" TargetMode="External"/><Relationship Id="rId10" Type="http://schemas.openxmlformats.org/officeDocument/2006/relationships/hyperlink" Target="https://gesetze.berlin.de/bsbe/document/jlr-NNLBE00004928" TargetMode="External"/><Relationship Id="rId11" Type="http://schemas.openxmlformats.org/officeDocument/2006/relationships/hyperlink" Target="https://www.berlin.de/rbmskzl/politik/senat/verfassung/artikel.41548.php" TargetMode="External"/><Relationship Id="rId12" Type="http://schemas.openxmlformats.org/officeDocument/2006/relationships/hyperlink" Target="https://gesetze.berlin.de/perma?j=VwVfG_BE" TargetMode="External"/><Relationship Id="rId13" Type="http://schemas.openxmlformats.org/officeDocument/2006/relationships/hyperlink" Target="https://www.berlin.de/polizei/polizeimeldungen/fakten-hintergruende/artikel.1078268.php" TargetMode="External"/><Relationship Id="rId14" Type="http://schemas.openxmlformats.org/officeDocument/2006/relationships/hyperlink" Target="https://www.berlin.de/sen/justiz/service/gesetze-und-verordnungen/2026/ausgabe_nr._8_vom_20.3.2026_s._101-136.pdf" TargetMode="External"/><Relationship Id="rId15" Type="http://schemas.openxmlformats.org/officeDocument/2006/relationships/hyperlink" Target="https://www.berlin.de/sen/justiz/service/gesetze-und-verordnungen/2026/ausgabe-nr-11-vom-1542026-s-153-168.pdf" TargetMode="External"/><Relationship Id="rId16" Type="http://schemas.openxmlformats.org/officeDocument/2006/relationships/hyperlink" Target="https://www.berlin.de/sen/justiz/service/gesetze-und-verordnungen/2026/" TargetMode="External"/><Relationship Id="rId17" Type="http://schemas.openxmlformats.org/officeDocument/2006/relationships/hyperlink" Target="https://www.berlin.de/sen/justiz/service/gesetze-und-verordnungen/2026/ausgabe-nr-24-vom-1872026-s-541-684.pdf" TargetMode="External"/><Relationship Id="rId18" Type="http://schemas.openxmlformats.org/officeDocument/2006/relationships/hyperlink" Target="https://www.gesetze-im-internet.de/vwgo/" TargetMode="External"/><Relationship Id="rId19" Type="http://schemas.openxmlformats.org/officeDocument/2006/relationships/hyperlink" Target="https://www.gesetze-im-internet.de/famfg/" TargetMode="External"/><Relationship Id="rId20" Type="http://schemas.openxmlformats.org/officeDocument/2006/relationships/hyperlink" Target="https://www.gesetze-im-internet.de/stpo/" TargetMode="External"/><Relationship Id="rId21" Type="http://schemas.openxmlformats.org/officeDocument/2006/relationships/hyperlink" Target="https://www.gesetze-im-internet.de/gg/" TargetMode="External"/><Relationship Id="rId22" Type="http://schemas.openxmlformats.org/officeDocument/2006/relationships/hyperlink" Target="https://www.bundesverfassungsgericht.de/SharedDocs/Entscheidungen/DE/2025/09/rk20250930_2bvr046025.html" TargetMode="External"/><Relationship Id="rId23" Type="http://schemas.openxmlformats.org/officeDocument/2006/relationships/hyperlink" Target="https://gerichtsentscheidungen.brandenburg.de/gerichtsentscheidung/28900" TargetMode="External"/><Relationship Id="rId24" Type="http://schemas.openxmlformats.org/officeDocument/2006/relationships/hyperlink" Target="https://gerichtsentscheidungen.brandenburg.de/gerichtsentscheidung/29246" TargetMode="External"/><Relationship Id="rId25" Type="http://schemas.openxmlformats.org/officeDocument/2006/relationships/hyperlink" Target="https://www.bverwg.de/240424U6C2.22.0" TargetMode="External"/><Relationship Id="rId26" Type="http://schemas.openxmlformats.org/officeDocument/2006/relationships/hyperlink" Target="https://www.bverwg.de/270324U6C1.22.0" TargetMode="External"/><Relationship Id="rId27" Type="http://schemas.openxmlformats.org/officeDocument/2006/relationships/hyperlink" Target="https://www.bverwg.de/021225U6C1.25.0" TargetMode="External"/><Relationship Id="rId28" Type="http://schemas.openxmlformats.org/officeDocument/2006/relationships/hyperlink" Target="https://www.bundesverfassungsgericht.de/SharedDocs/Entscheidungen/DE/2024/11/ls20241114_1bvl000322.html" TargetMode="External"/><Relationship Id="rId29" Type="http://schemas.openxmlformats.org/officeDocument/2006/relationships/hyperlink" Target="https://www.bundesverfassungsgericht.de/SharedDocs/Entscheidungen/DE/2024/10/rs20241001_1bvr116019.html" TargetMode="External"/><Relationship Id="rId30" Type="http://schemas.openxmlformats.org/officeDocument/2006/relationships/hyperlink" Target="https://gerichtsentscheidungen.brandenburg.de/gerichtsentscheidung/14012" TargetMode="External"/><Relationship Id="rId31" Type="http://schemas.openxmlformats.org/officeDocument/2006/relationships/hyperlink" Target="https://gerichtsentscheidungen.brandenburg.de/gerichtsentscheidung/9050" TargetMode="External"/><Relationship Id="rId3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Berliner ASOG-Werkstatt aus Betroffenen- und Beratungssicht</dc:title>
  <dc:subject/>
  <dc:creator>Berliner Rechtswerkstätten</dc:creator>
  <cp:keywords/>
  <dc:description>generated by python-docx</dc:description>
  <cp:lastModifiedBy/>
  <cp:revision>1</cp:revision>
  <dcterms:created xsi:type="dcterms:W3CDTF">2026-10-02T09:00:00Z</dcterms:created>
  <dcterms:modified xsi:type="dcterms:W3CDTF">2026-10-02T09:00:00Z</dcterms:modified>
  <cp:category/>
</cp:coreProperties>
</file>