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Klinik Mainblick GmbH · Verwaltung · Würzburg</w:t>
      </w:r>
    </w:p>
    <w:p>
      <w:pPr>
        <w:pStyle w:val="Title"/>
      </w:pPr>
      <w:r>
        <w:t>Gesellschafterbestand der Klinik Mainblick</w:t>
      </w:r>
    </w:p>
    <w:p>
      <w:r>
        <w:t>06.01.2016</w:t>
      </w:r>
    </w:p>
    <w:p>
      <w:r>
        <w:t>An Frankenbogen Kommunalversicherung VVaG, Vertragsverwaltung.</w:t>
      </w:r>
    </w:p>
    <w:p>
      <w:r>
        <w:t>Die Geschäftsführung bestätigt den zum 1. Januar 2016 unveränderten Gesellschafterbestand: Die Stadt Hainbogen hält unmittelbar 60 Prozent der Geschäftsanteile und der Stimmrechte an der Klinik Mainblick GmbH. Die Stiftung Morgenlicht hält unmittelbar 40 Prozent. Das Stammkapital beträgt 5.000.000 EUR. Die Gesellschaft betreibt das Krankenhaus am Mainauenweg 18 in Würzburg einschließlich Geburtshilfe in eigener Verantwortung.</w:t>
      </w:r>
    </w:p>
    <w:p>
      <w:r>
        <w:t>Die Stiftung ist eine private gemeinnützige Stiftung. Weitere mittelbare Beteiligungsebenen bestehen nach dem Gesellschafterverzeichnis nicht. Das Schreiben bestätigt die Beteiligung und den Betrieb; es bestätigt keine Zugehörigkeit zu einer Versicherungs- oder Ausgleichseinrichtung.</w:t>
      </w:r>
    </w:p>
    <w:p>
      <w:r>
        <w:t>Auszug aus dem von beiden Gesellschaftern am 18. Dezember 2015 bestätigten Beteiligungsspiegel, Ablage G-2015-12. Die Vertretungsberechtigung der Geschäftsführerin wurde bei Vertragsabschluss gesondert dokumentiert.</w:t>
      </w:r>
    </w:p>
    <w:p>
      <w:r>
        <w:t>Mareike Seidel, Geschäftsführerin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Gesellschafterbestand der Klinik Mainblick</dc:title>
  <dc:subject/>
  <dc:creator>Klinik Mainblick GmbH · Verwaltung ·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