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Berg &amp; Auen · Rechtsanwalt Selim Berg</w:t>
      </w:r>
    </w:p>
    <w:p>
      <w:pPr>
        <w:pStyle w:val="Title"/>
      </w:pPr>
      <w:r>
        <w:t>Angaben zur familiären Bildungsbiografie</w:t>
      </w:r>
    </w:p>
    <w:p>
      <w:r>
        <w:t>21.07.2026</w:t>
      </w:r>
    </w:p>
    <w:p>
      <w:r>
        <w:t>An Frankenbogen Kommunalversicherung VVaG. Bezug: Erwerbsschaden Nora Winter, Vergleichsgespräch vom 14. Juli 2026.</w:t>
      </w:r>
    </w:p>
    <w:p>
      <w:r>
        <w:t>Die Mutter Hannah Winter schloss eine Ausbildung zur Ergotherapeutin ab und war vor Noras Geburt vollzeitig tätig. Seit 2016 arbeitet sie eingeschränkt. Der Vater Tobias Winter absolvierte eine Ausbildung zum Mechatroniker und 2012 eine Weiterbildung zum staatlich geprüften Techniker. Die vorgelegten Abschlussbescheinigungen wurden im Gespräch eingesehen. Es gibt keine älteren Geschwister. Die Eltern hatten vor der Geburt keinen bestimmten Studiengang oder Beruf für Nora festgelegt.</w:t>
      </w:r>
    </w:p>
    <w:p>
      <w:r>
        <w:t>Wegen der Schädigung seit Geburt bestehen weder schulische Leistungen aus einer unbeeinträchtigten Entwicklung noch eine eigene Berufswahl Noras. Aus den Berufen der Eltern ergibt sich deshalb kein feststehender individueller Verdienst. Das ist der wesentliche Unsicherheitsbereich der Verhandlung.</w:t>
      </w:r>
    </w:p>
    <w:p>
      <w:r>
        <w:t>Unser zuletzt angebotener Kapitalbetrag von 2.250.000 EUR beruht auf einer Vergleichsbewertung: angenommener Erwerbsbeginn mit 21 Jahren, Erwerbsende mit 67 Jahren und ein jährlicher Nettoausfall von 55.000 EUR in heutigen Preisen als oberes Verhandlungsszenario unserer letzten Forderungsfassung. Dieser Ansatz beschreibt keinen wahrscheinlichen individuellen Verdienst Noras. Der ausgehandelte Kapitalbetrag entspricht rechnerisch etwa 40,91 solchen Jahresbeträgen. Dieser Kontrollquotient ist kein Kapitalisierungsfaktor einer nachrechenbaren Barwertberechnung. Die Einigung berücksichtigt die gegenläufigen Positionen zu Erwerbsbeginn, beruflichem Verlauf, Lohnentwicklung, Kapitalertrag, Steuern und Sozialabgaben. Sie behauptet keine versicherungsmathematisch gesicherte Individualprognose.</w:t>
      </w:r>
    </w:p>
    <w:p>
      <w:r>
        <w:t>Die Parteien vergleichen damit eine unsichere künftige Entwicklung. Es wird weder behauptet, Nora hätte sicher den Beruf eines Elternteils ergriffen, noch wird ein bereits entstandener laufender Erwerbsausfall angesetzt.</w:t>
      </w:r>
    </w:p>
    <w:p>
      <w:r>
        <w:t>Selim Berg, Rechtsanwalt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zur familiären Bildungsbiografie</dc:title>
  <dc:subject/>
  <dc:creator>Kanzlei Berg &amp; Auen · Rechtsanwalt Selim Berg</dc:creator>
  <cp:keywords/>
  <dc:description>generated by python-docx</dc:description>
  <cp:lastModifiedBy/>
  <cp:revision>1</cp:revision>
  <dcterms:created xsi:type="dcterms:W3CDTF">2026-10-01T09:00:00Z</dcterms:created>
  <dcterms:modified xsi:type="dcterms:W3CDTF">2026-10-01T09:00:00Z</dcterms:modified>
  <cp:category/>
</cp:coreProperties>
</file>