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 · Vertragsverwaltung</w:t>
      </w:r>
    </w:p>
    <w:p>
      <w:pPr>
        <w:pStyle w:val="Title"/>
      </w:pPr>
      <w:r>
        <w:t>Bestätigung des Versicherungsschutzes</w:t>
      </w:r>
    </w:p>
    <w:p>
      <w:r>
        <w:t>09.09.2026</w:t>
      </w:r>
    </w:p>
    <w:p>
      <w:r>
        <w:t>An Klinik Mainblick GmbH. Versicherungsnummer KH-2015-108. Schaden FK-2016-0214.</w:t>
      </w:r>
    </w:p>
    <w:p>
      <w:r>
        <w:t>Wir bestätigen für den Geburtsschaden vom 14. Februar 2016 den Versicherungsschutz der Klinik Mainblick GmbH aus dem Krankenhaushaftpflichtvertrag vom 18. Dezember 2015, gültig vom 1. Januar bis 31. Dezember 2016. Der versicherte Betrieb umfasst Geburtshilfe, angestellte ärztliche Tätigkeit und Pflege am Standort Mainauenweg 18 in Würzburg. Die vertragliche Versicherungssumme beträgt 30.000.000 EUR für Personen- und Sachschäden je Versicherungsfall; eine Jahreshöchstleistung von 60.000.000 EUR ist für den hier betroffenen Versicherungsfall nach dem Vertragskontenstand nicht erschöpft. Ein Selbstbehalt der Klinik wurde nicht vereinbart.</w:t>
      </w:r>
    </w:p>
    <w:p>
      <w:r>
        <w:t>Die im Vergleich vorgesehene Gesamtleistung von 13.200.000 EUR fällt unter diese Deckungszusage. Rechtliche Abwehr- und Regulierungskosten werden nach der Kostenzusage gesondert geführt und nicht in die Familienleistung hineingerechnet. Für spätere, vom Vergleich nicht erfasste Forderungen bleiben deren tatsächliche Voraussetzungen und der dann bestehende Vertragskontenstand zu prüfen; eine pauschale Deckungszusage für jeden beliebigen Mehrbetrag ist damit nicht verbunden.</w:t>
      </w:r>
    </w:p>
    <w:p>
      <w:r>
        <w:t>Die Bestätigung regelt das Verhältnis zwischen Klinik und Erstversicherer. Eine interne Beteiligung an einem Schadenausgleich oder einer Rückversicherung verändert die Zahlungspflicht gegenüber der Klinik aus dieser Zusage nicht.</w:t>
      </w:r>
    </w:p>
    <w:p>
      <w:r>
        <w:t>Hannes Fink, Vertragsverwaltung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des Versicherungsschutzes</dc:title>
  <dc:subject/>
  <dc:creator>Frankenbogen Kommunalversicherung VVaG · Vertragsverwaltung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