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Nora Winter und Klinik Mainblick GmbH</w:t>
      </w:r>
    </w:p>
    <w:p>
      <w:pPr>
        <w:pStyle w:val="Title"/>
      </w:pPr>
      <w:r>
        <w:t>Vereinbarung über bezifferte Ansprüche Noras</w:t>
      </w:r>
    </w:p>
    <w:p>
      <w:r>
        <w:t>23.09.2026</w:t>
      </w:r>
    </w:p>
    <w:p>
      <w:r>
        <w:t>Nora Winter, geboren am 14. Februar 2016, gemeinsam vertreten durch ihre sorgeberechtigten Eltern Hannah und Tobias Winter, anwaltlich vertreten durch Rechtsanwalt Selim Berg, und die Klinik Mainblick GmbH, vertreten durch ihre Geschäftsführerin Mareike Seidel, schließen diese Vereinbarung. Die Frankenbogen Kommunalversicherung VVaG tritt hinsichtlich der nachfolgenden Zahlungspflicht als weitere Schuldnerin bei. Beide Eltern handeln ausschließlich für Nora. Persönliche Ansprüche der Eltern sind nicht Gegenstand der Vereinbarung.</w:t>
      </w:r>
    </w:p>
    <w:p>
      <w:pPr>
        <w:pStyle w:val="Heading1"/>
      </w:pPr>
      <w:r>
        <w:t>1 Vergleichsgegenstand</w:t>
      </w:r>
    </w:p>
    <w:p>
      <w:r>
        <w:t>Die Ersatzpflicht aus der Geburt am 14. Februar 2016 ist mit Schreiben vom 15. Juni 2018 anerkannt. Zur Beilegung der Meinungsverschiedenheiten über den Umfang der derzeit bezifferbaren Schäden vereinbaren die Parteien für Nora einen Gesamtbetrag von 13.200.000 EUR. Davon entfallen 900.000 EUR auf Schmerzensgeld, 800.000 EUR auf ungedeckten Pflege- und sonstigen Mehrbedarf bis 30. September 2026, 8.500.000 EUR auf den ab 1. Oktober 2026 nach dem heutigen Kenntnisstand vorhersehbaren Pflege- und Assistenzmehrbedarf, 750.000 EUR auf den vereinbarten Wohn- und Hilfsmittelmehrbedarf sowie 2.250.000 EUR auf den künftigen Erwerbsschaden.</w:t>
      </w:r>
    </w:p>
    <w:p>
      <w:pPr>
        <w:pStyle w:val="Heading1"/>
      </w:pPr>
      <w:r>
        <w:t>2 Rechenbasis und Abgrenzung</w:t>
      </w:r>
    </w:p>
    <w:p>
      <w:r>
        <w:t>Die Pflegebewertung geht von einem jährlichen Gesamtbedarf von 280.000 EUR in heutigen Preisen aus. Für die Zeit ab 1. Oktober 2026 setzen sie jährlich 50.000 EUR für sachlich und zeitlich entsprechende Leistungen der Kranken- und Pflegekasse an. Dies ist eine gemeinsame Vergleichsannahme auf Grundlage der bisherigen Versorgung, keine Zusage dieser Träger für die Zukunft. Der so verbleibende Jahresansatz von 230.000 EUR dient als Orientierung. Das frei ausgehandelte Pflegekapital beträgt 8.500.000 EUR und entspricht rechnerisch etwa 36,96 solchen Jahresbeträgen. Dieser Kontrollquotient ist kein versicherungsmathematischer Kapitalisierungsfaktor. Ein nachrechenbarer individueller Barwert wird nicht behauptet. Der Vergleich bündelt die abweichenden Annahmen zu Dauer, Preisentwicklung und Kapitalertrag und trifft keine Aussage zur individuellen Lebensdauer Noras. Die Erwerbsbewertung knüpft an die Angaben vom 21. Juli 2026 an; die erheblichen Prognoseunsicherheiten sind durch den Vergleichsbetrag berücksichtigt.</w:t>
      </w:r>
    </w:p>
    <w:p>
      <w:r>
        <w:t>Die 750.000 EUR umfassen 180.000 EUR für den bereits abgerechneten Umbau sowie 570.000 EUR für künftig vorhersehbare Wohnanpassung und größere Hilfsmittelbeschaffungen. Wiederkehrende Wartungskosten sind dem Pflegeansatz zugeordnet. Es werden keine Positionen zweimal ersetzt. Ansprüche, die auf Sozialleistungsträger oder sonstige Dritte übergegangen sind, werden weder abgefunden noch an Nora ausgezahlt.</w:t>
      </w:r>
    </w:p>
    <w:p>
      <w:pPr>
        <w:pStyle w:val="Heading1"/>
      </w:pPr>
      <w:r>
        <w:t>3 Zahlung und Anrechnung</w:t>
      </w:r>
    </w:p>
    <w:p>
      <w:r>
        <w:t>Bereits gezahlte Vorschüsse von 1.200.000 EUR werden angerechnet: 300.000 EUR auf Schmerzensgeld vom 29. Juni 2018, 250.000 EUR auf Mehrbedarf vom 31. Juli 2020, 350.000 EUR auf Mehrbedarf vom 29. Juli 2022 und 300.000 EUR auf Mehrbedarf vom 31. Juli 2024. Die letzten drei Zahlungen betreffen zusammen 800.000 EUR vergangenen Mehrbedarf und 100.000 EUR des vereinbarten Wohnmehrbedarfs. Die verbleibenden 12.000.000 EUR sind bis 30. September 2026 auf Noras von beiden Eltern schriftlich benanntes Konto zu zahlen. Gegenüber Nora haften Klinik und Frankenbogen für diese Zahlung als Gesamtschuldnerinnen.</w:t>
      </w:r>
    </w:p>
    <w:p>
      <w:pPr>
        <w:pStyle w:val="Heading1"/>
      </w:pPr>
      <w:r>
        <w:t>4 Reichweite der Erledigung</w:t>
      </w:r>
    </w:p>
    <w:p>
      <w:r>
        <w:t>Mit vollständiger Zahlung sind ausschließlich die nach dem heutigen Kenntnisstand vorhersehbaren eigenen Ansprüche Noras aus den in Nummer 1 bezeichneten Positionen abgegolten. Weitere Schäden, die bei Vertragsschluss nach Art oder Umfang nicht vorhersehbar waren, bleiben vorbehalten. Hierzu zählt ein medizinisch neu begründeter, heute nicht absehbarer zusätzlicher Pflegebedarf. Bloße Abweichungen der bereits verglichenen Preis-, Kapitalertrags- oder Erwerbsannahmen eröffnen für sich allein keine Neuberechnung. Ob ein späterer Bedarf unter den Vorbehalt fällt, ist anhand seiner Ursache und damaligen Vorhersehbarkeit zu beurteilen. Das Haftungsanerkenntnis der Klinik vom 15. Juni 2018 einschließlich des darin bis zum 15. Juni 2048 erklärten Verjährungsverzichts gilt für vorbehaltene Ansprüche fort. Die Vereinbarung enthält keinen Verzicht auf übergegangene Ansprüche Dritter.</w:t>
      </w:r>
    </w:p>
    <w:p>
      <w:pPr>
        <w:pStyle w:val="Heading1"/>
      </w:pPr>
      <w:r>
        <w:t>5 Vertretung und Kosten</w:t>
      </w:r>
    </w:p>
    <w:p>
      <w:r>
        <w:t>Beide Eltern bestätigen die gemeinsame elterliche Sorge und ihre Vertretung ausschließlich für Nora. Sie haben den Vergleich nach Beratung durch Rechtsanwalt Berg angenommen. Es wird weder über Noras Vermögen im Ganzen noch über eine Erbschaft oder über persönliche Gegenansprüche der Eltern verfügt. Die Vereinbarung wird außergerichtlich geschlossen; eine gerichtliche Genehmigung wird nicht als erteilt behauptet. Die notwendige anwaltliche Vergütung der bisherigen Regulierung übernimmt Frankenbogen aufgrund gesonderter Kostenvereinbarung; sie ist nicht Bestandteil der 13.200.000 EUR.</w:t>
      </w:r>
    </w:p>
    <w:p>
      <w:r>
        <w:t>Unterzeichnet am 23. September 2026: Hannah Winter und Tobias Winter für Nora Winter; Mareike Seidel für Klinik Mainblick GmbH; Gundula Pfennig für Frankenbogen Kommunalversicherung VVaG. Rechtsanwalt Selim Berg bestätigt die Teilnahme an der Beratung und die Übereinstimmung der ausgefertigten Texte.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Vereinbarung über bezifferte Ansprüche Noras</dc:title>
  <dc:subject/>
  <dc:creator>Nora Winter und Klinik Mainblick GmbH</dc:creator>
  <cp:keywords/>
  <dc:description>generated by python-docx</dc:description>
  <cp:lastModifiedBy/>
  <cp:revision>1</cp:revision>
  <dcterms:created xsi:type="dcterms:W3CDTF">2026-10-01T09:00:00Z</dcterms:created>
  <dcterms:modified xsi:type="dcterms:W3CDTF">2026-10-01T09:00:00Z</dcterms:modified>
  <cp:category/>
</cp:coreProperties>
</file>