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 · Rückdeckung und Controlling</w:t>
      </w:r>
    </w:p>
    <w:p>
      <w:pPr>
        <w:pStyle w:val="Title"/>
      </w:pPr>
      <w:r>
        <w:t>Interne Modellannahmen für den Großschadenausgleich</w:t>
      </w:r>
    </w:p>
    <w:p>
      <w:r>
        <w:t>10.09.2026</w:t>
      </w:r>
    </w:p>
    <w:p>
      <w:r>
        <w:t>Vorgang FK-2016-0214. Freigegebener Rechenstand für die interne Abrechnung vom 10. September 2026.</w:t>
      </w:r>
    </w:p>
    <w:p>
      <w:pPr>
        <w:pStyle w:val="Heading1"/>
      </w:pPr>
      <w:r>
        <w:t>1 Reichweite des Modells</w:t>
      </w:r>
    </w:p>
    <w:p>
      <w:r>
        <w:t>Für diesen Vorgang wird ein internes AKHA-Modell mit nachgeordnetem Rückversicherungsschutz geführt. Die nachfolgenden Beträge und Abläufe sind ausschließlich gesetzte Modellannahmen. Dieses Dokument ist weder eine AKHA-Bedingung noch ein Auszug aus einem tatsächlichen AKHA- oder Rückversicherungsvertrag. Es weist keine reale Mitgliedschaft nach. Die echten Vertragsbedingungen und Einbeziehungsnachweise müssten für eine reale Abrechnung gesondert vorliegen.</w:t>
      </w:r>
    </w:p>
    <w:p>
      <w:pPr>
        <w:pStyle w:val="Heading1"/>
      </w:pPr>
      <w:r>
        <w:t>2 Schichten und Bezugsgröße</w:t>
      </w:r>
    </w:p>
    <w:p>
      <w:r>
        <w:t>Das Modell setzt Frankenbogen als teilnehmendes Erstversicherungsmitglied und den Schaden der Klinik Mainblick als einbezogen voraus. Der Mitgliedsselbstbehalt beträgt 1.500.000 EUR je Schadenereignis. Er wird von Frankenbogen getragen und ist kein Selbstbehalt der Klinik. Der darüber hinausgehende anrechenbare Schaden wird gegenüber der internen Ausgleichsebene brutto angemeldet.</w:t>
      </w:r>
    </w:p>
    <w:p>
      <w:r>
        <w:t>Für die Ausgleichsebene wird eine externe Rückversicherung mit einer Priorität von 10.000.000 EUR je Schadenereignis und einem Limit von weiteren 10.000.000 EUR angenommen. Die Priorität bezieht sich auf den ursprünglichen anrechenbaren Gesamtschaden vor Abzug des Mitgliedsselbstbehalts. Rückversicherungsschuldnerin im Modell ist Auenfels Rückversicherung AG. Begünstigt ist die Ausgleichsebene, nicht die Familie und nicht unmittelbar Frankenbogen. Bis zum Ansatz der Rückversicherung verbleibt der Bereich oberhalb des Mitgliedsselbstbehalts im gegenseitigen Ausgleich.</w:t>
      </w:r>
    </w:p>
    <w:p>
      <w:pPr>
        <w:pStyle w:val="Heading1"/>
      </w:pPr>
      <w:r>
        <w:t>3 Anrechenbare Beträge und Liquidität</w:t>
      </w:r>
    </w:p>
    <w:p>
      <w:r>
        <w:t>Angerechnet werden die tatsächlich ausgezahlten, vom Teilvergleich erfassten 13.200.000 EUR einschließlich sämtlicher früherer Vorschüsse. Reserven und gesonderte Regulierungskosten werden in dieser Abrechnung nicht zugeschlagen. Ein bereits zuvor gemeldeter Vorschuss ist bei der Schlussabrechnung anzurechnen. Der Rückversicherer erstattet erst nach Prüfung; eine Einreichung ist noch kein Zahlungseingang.</w:t>
      </w:r>
    </w:p>
    <w:p>
      <w:r>
        <w:t>Die Ausgleichsebene bleibt im Modell für den gesamten oberhalb des Mitgliedsselbstbehalts angemeldeten Betrag Abrechnungspartnerin von Frankenbogen. Eine dort ausstehende Rückversicherungszahlung mindert den bereits angemeldeten Bruttoanspruch nicht automatisch. Etwaige Fälligkeit und Vorfinanzierung sind von der reinen Schichtenrechnung zu trennen.</w:t>
      </w:r>
    </w:p>
    <w:p>
      <w:r>
        <w:t>Freigegeben für diesen Rechenstand: Gundula Pfennig und Hannes Fink.</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Interne Modellannahmen für den Großschadenausgleich</dc:title>
  <dc:subject/>
  <dc:creator>Frankenbogen Kommunalversicherung VVaG · Rückdeckung und Controlling</dc:creator>
  <cp:keywords/>
  <dc:description>generated by python-docx</dc:description>
  <cp:lastModifiedBy/>
  <cp:revision>1</cp:revision>
  <dcterms:created xsi:type="dcterms:W3CDTF">2026-10-01T09:00:00Z</dcterms:created>
  <dcterms:modified xsi:type="dcterms:W3CDTF">2026-10-01T09:00:00Z</dcterms:modified>
  <cp:category/>
</cp:coreProperties>
</file>