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 · Personenschaden · Gundula Pfennig</w:t>
      </w:r>
    </w:p>
    <w:p>
      <w:pPr>
        <w:pStyle w:val="Title"/>
      </w:pPr>
      <w:r>
        <w:t>Reserve nach Auszahlung des Teilvergleichs</w:t>
      </w:r>
    </w:p>
    <w:p>
      <w:r>
        <w:t>02.10.2026</w:t>
      </w:r>
    </w:p>
    <w:p>
      <w:r>
        <w:t>Schaden FK-2016-0214. Bewertungsstichtag 30. September 2026, erfasst am 2. Oktober 2026.</w:t>
      </w:r>
    </w:p>
    <w:p>
      <w:r>
        <w:t>Der bezifferte Teilvergleich ist vollständig bezahlt. Die dafür zuvor geführte Bruttoreserve von 12.000.000 EUR wurde durch die Schlusszahlung aufgelöst. Sie darf nicht zusätzlich zu den 13.200.000 EUR bisherigen Zahlungen als weiterer Schaden angesetzt werden.</w:t>
      </w:r>
    </w:p>
    <w:p>
      <w:r>
        <w:t>Für noch nicht abschließend abgerechnete übergegangene Ansprüche der Kranken- und Pflegekasse führen wir vorläufig 650.000 EUR als gesonderte Bruttoreserve. Unsere Regressstelle hat am 1. Oktober noch offene Behandlungs- und Pflegeaufwendungen der Jahre 2016 bis 2026 in dieser Größenordnung vorgemerkt; eine prüffähige Einzelabrechnung liegt in diesem Auszug nicht vor. Diese Zahl ist eine vorsichtige interne Schätzung, kein anerkannter weiterer Anspruch, keine zugesagte Zahlung und kein Kapitalbetrag aus dem Vergleich. Die Träger sind am Teilvergleich nicht beteiligt; ihre übergegangenen Ansprüche wurden dort ausdrücklich ausgenommen.</w:t>
      </w:r>
    </w:p>
    <w:p>
      <w:r>
        <w:t>Es gibt bislang keine nach dem Vergleich neu erhobene Forderung der Familie. Die Drittregressreserve gehört weder zum Kapitalbetrag für Nora noch zum Zahlungsjournal oder zur aktuellen internen Ausgleichsanmeldung. Eine Rückdeckungsforderung auf diese Reserve wird nicht gebucht. Kostenreserven für unsere eigene Bearbeitung werden außerhalb dieser Liste geführt.</w:t>
      </w:r>
    </w:p>
    <w:p>
      <w:r>
        <w:t>In meinem Kurzstand vom 25. September hatte ich „Restbedarf 0,65 Mio.“ geschrieben. Diese Bezeichnung war missverständlich. Der Betrag ist am 30. September als Reserve umbenannt worden und darf nicht als noch ausstehende Vergleichszahlung an Nora erscheinen.</w:t>
      </w:r>
    </w:p>
    <w:p>
      <w:r>
        <w:t>Gundula Pfennig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 nach Auszahlung des Teilvergleichs</dc:title>
  <dc:subject/>
  <dc:creator>Frankenbogen Kommunalversicherung VVaG · Personenschaden · Gundula Pfennig</dc:creator>
  <cp:keywords/>
  <dc:description>generated by python-docx</dc:description>
  <cp:lastModifiedBy/>
  <cp:revision>1</cp:revision>
  <dcterms:created xsi:type="dcterms:W3CDTF">2026-10-01T09:00:00Z</dcterms:created>
  <dcterms:modified xsi:type="dcterms:W3CDTF">2026-10-01T09:00:00Z</dcterms:modified>
  <cp:category/>
</cp:coreProperties>
</file>