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Abstimmung zu Nachweisen und Testgrenzen</w:t>
      </w:r>
    </w:p>
    <w:p>
      <w:r>
        <w:t>Eichengrund Logistik GmbH</w:t>
        <w:br/>
        <w:t>Kunigunde Häckel</w:t>
        <w:br/>
        <w:t>5. Oktober 2026</w:t>
      </w:r>
    </w:p>
    <w:p>
      <w:pPr>
        <w:pStyle w:val="Heading1"/>
      </w:pPr>
      <w:r>
        <w:t>1 Teilnehmer und Gegenstand</w:t>
      </w:r>
    </w:p>
    <w:p>
      <w:r>
        <w:t>Berthold Reitzenstein, Lea Demir, Kunigunde Häckel und Dr. Cem Albrecht besprachen am 5. Oktober 2026 von 09.00 bis 10.30 Uhr den Stand der drei Anwendungen. Friedemann Sturm von Taktweg und Ottokar Seidel von Eichenrobotik wurden telefonisch zugeschaltet. Die Runde sollte entscheiden, welche Unterlagen noch vor der Einkaufsbesprechung benötigt werden. Sie erteilte keine fachliche oder rechtliche Freigabe.</w:t>
      </w:r>
    </w:p>
    <w:p>
      <w:pPr>
        <w:pStyle w:val="Heading1"/>
      </w:pPr>
      <w:r>
        <w:t>2 Zertifikat der Holding</w:t>
      </w:r>
    </w:p>
    <w:p>
      <w:r>
        <w:t>Frau Häckel zeigte das übersandte Zertifikat. Es nennt die Taktweg Holding Services GmbH in Nürnberg und die Beratung verbundener Unternehmen beim Einsatz von KI. Die Taktweg Systeme GmbH in Eichengrund ist im bezeichneten Umfang nicht aufgeführt. Herr Sturm erklärte zunächst, die Konzernzugehörigkeit werde genügen. Nach Rückfrage sagte er zu, eine Erweiterung des Geltungsbereichs zu klären. Eine solche Erweiterung wurde bis zum Ende der Sitzung nicht vorgelegt.</w:t>
      </w:r>
    </w:p>
    <w:p>
      <w:r>
        <w:t>Dr. Albrecht fragte nach einer konkreten Systembewertung für Wächterkern S1. Herr Seidel verwies auf laufende Prüfungen und eine Liste von ISO-Normen. Auf der Liste stehen ISO/IEC 42001, ISO/IEC 23894, ISO/IEC 24029-2 und EN 18286 ohne Ausgabedatum. Eine konkrete Amtsblattfundstelle ist nicht angegeben. Herr Seidel konnte nicht bestätigen, ob die Nummern vollständig angewandt oder lediglich für die weitere Recherche vorgesehen sind. Die Runde hielt fest, dass diese Unsicherheit ausdrücklich in der Nachforderung stehen soll.</w:t>
      </w:r>
    </w:p>
    <w:p>
      <w:pPr>
        <w:pStyle w:val="Heading1"/>
      </w:pPr>
      <w:r>
        <w:t>3 Testdaten und Betriebsannahmen</w:t>
      </w:r>
    </w:p>
    <w:p>
      <w:r>
        <w:t>Frau Demir stellte klar, dass die Disposition keine Beschäftigtendaten verarbeitet. In der Personaloption sind solche Daten hingegen gerade Grundlage des Vorschlags. Sie warnte davor, aus der Trennung der Datenflüsse zu schließen, das gesamte Paket habe nur die Funktion eines Kalenders. Für Teamstern sind die Nutzung der Standardrangfolge und die Bedeutung des Merkmals Belastbarkeit offen. Die Personalabteilung möchte vor einer Entscheidung eine eigene Erläuterung.</w:t>
      </w:r>
    </w:p>
    <w:p>
      <w:r>
        <w:t>Bei S1 lagen 75 beleuchtete Läufe vor. Die drei fehlerhaften Freigaben sind unabhängig von der fehlenden Nachtserie zu untersuchen. Herr Seidel vermutete eine Reflexion, legte aber keinen Ursachenbericht vor. Die geplanten 25 Nachtläufe können erst nach Lieferung des anderen Sensorkopfs beginnen. Dr. Albrecht verlangte, die geänderte Hardware im Testbericht mit ihrer Version zu benennen. Eine bloße Fortschreibung der bisherigen Quote würde den Wechsel nicht abbilden.</w:t>
      </w:r>
    </w:p>
    <w:p>
      <w:pPr>
        <w:pStyle w:val="Heading1"/>
      </w:pPr>
      <w:r>
        <w:t>4 Vereinbarte Fortsetzung</w:t>
      </w:r>
    </w:p>
    <w:p>
      <w:r>
        <w:t>Der Einkauf fordert eine lesbare Rollenübersicht und die richtige Zertifikatsanlage an. Frau Demir friert den aktuellen Testexport ein und übernimmt die offenen Testmengen in die Arbeitsmappe. Dr. Albrecht formuliert Fragen zu Stoppweg, Reaktionszeit, Sensorannahmen und Prüfbereich. Die rechtliche Beratung soll aus den vorhandenen Unterlagen einen konkreten Verfahrens- und Nachweisplan entwickeln. Die Befunde werden nicht dadurch erledigt, dass eine Normenliste verlängert wird. Die nächste Sitzung ist am 19. Oktober vorgesehen; das ist kein gesetzlicher Endtermin.</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EL-26-219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EL-26-219   Eichengrund Logistik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Abstimmung zu Nachweisen und Testgrenzen</dc:title>
  <dc:subject>EL-26-219</dc:subject>
  <dc:creator>Eichengrund Logistik GmbH</dc:creator>
  <cp:keywords/>
  <dc:description>generated by python-docx</dc:description>
  <cp:lastModifiedBy/>
  <cp:revision>1</cp:revision>
  <dcterms:created xsi:type="dcterms:W3CDTF">2026-10-09T08:00:00Z</dcterms:created>
  <dcterms:modified xsi:type="dcterms:W3CDTF">2026-10-09T08:00:00Z</dcterms:modified>
  <cp:category/>
</cp:coreProperties>
</file>