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Besprechung zur örtlichen Verwendung von Fallspur</w:t>
      </w:r>
    </w:p>
    <w:p>
      <w:r>
        <w:t>Gemeinde Havelgrund</w:t>
        <w:br/>
        <w:t>Protokoll Ottilie Rabenstein</w:t>
        <w:br/>
        <w:t>6. Oktober 2026</w:t>
      </w:r>
    </w:p>
    <w:p>
      <w:pPr>
        <w:pStyle w:val="Heading1"/>
      </w:pPr>
      <w:r>
        <w:t>1 Teilnehmer und Ziel</w:t>
      </w:r>
    </w:p>
    <w:p>
      <w:r>
        <w:t>Am 6. Oktober 2026 besprachen Dr. Amira Seidlein, Ottilie Rabenstein, Noah Aydin und Juna Feldmann von 14.00 bis 15.20 Uhr den Teststand. Winfried Degenhardt nahm die erste halbe Stunde per Videokonferenz teil. Gegenstand war die Frage, welche konkrete Fassung die Gemeinde überhaupt beschaffen möchte. Eine rechtliche Freigabe oder Entscheidung über die Beschaffung wurde nicht getroffen.</w:t>
      </w:r>
    </w:p>
    <w:p>
      <w:pPr>
        <w:pStyle w:val="Heading1"/>
      </w:pPr>
      <w:r>
        <w:t>2 Beobachtungen der Fachseite</w:t>
      </w:r>
    </w:p>
    <w:p>
      <w:r>
        <w:t>Frau Rabenstein berichtete, dass die Sachbearbeitung im alten Verfahren alle neuen Fälle nach Eingangstag sichtet und erkannte Dringlichkeit anschließend manuell berücksichtigt. In 1.2 beginnt die sichtbare Warteschlange mit den höchsten Modellwerten. Wenn ein Team nur die ersten zwanzig Einträge öffnet, sieht es die später eingereihten Anträge an diesem Tag möglicherweise nicht. Alle Einträge bleiben technisch erreichbar. Sie hielt deshalb die Aussage, die Software ändere nichts an der tatsächlichen Bearbeitung, für noch nicht belegt.</w:t>
      </w:r>
    </w:p>
    <w:p>
      <w:r>
        <w:t>Herr Aydin bestätigte 80 synthetische Testfälle. 57 Originalfenster wurden im ersten Durchgang geöffnet. Aus dem Protokoll lässt sich nicht ersehen, ob zusätzliche Ausdrucke gelesen wurden. Frau Feldmann hatte 23 Einträge anhand der Kurzansicht geprüft, ohne das Originalfenster zu öffnen. Sie widersprach der vorab versandten Zusammenfassung, jeder einzelne Fall sei vollständig gelesen worden. Die korrigierten Zahlen sollen in die Arbeitsmappe übernommen werden.</w:t>
      </w:r>
    </w:p>
    <w:p>
      <w:pPr>
        <w:pStyle w:val="Heading1"/>
      </w:pPr>
      <w:r>
        <w:t>3 Anbietererklärung und verbleibender Widerspruch</w:t>
      </w:r>
    </w:p>
    <w:p>
      <w:r>
        <w:t>Herr Degenhardt erklärte, das System könne keine Leistung ablehnen. Er sehe deshalb eine vorbereitende Aufgabe und berufe sich auf Artikel 6 Absatz 3. Auf Nachfrage bestätigte er jedoch, dass die vorgeschlagene Reihenfolge später als Standard vorgesehen sei. Er konnte nicht sagen, ob vermutetes Mitwirkungsverhalten im aktuellen Modell noch verwendet werde. Er will die technische Antwort getrennt von seiner rechtlichen Einschätzung nachreichen. Die Gemeinde hat diese Einschätzung nicht übernommen.</w:t>
      </w:r>
    </w:p>
    <w:p>
      <w:r>
        <w:t>Eine Vorlage zur Folgenabschätzung des Anbieters bezieht sich auf einen allgemeinen Demonstrationsbetrieb mit zentralem telefonischem Beschwerdekanal. Havelgrund nimmt Einwendungen auch mündlich am Schalter und über Vertrauenspersonen entgegen. Für diese Wege enthält die Vorlage keine Beschreibung. Die Gemeinde hat noch nicht beschlossen, wer einen fehlerhaften Rang übersteuern darf und wie ein unbearbeiteter zeitkritischer Antrag auffällt. Frau Rabenstein wird einen Ablauf aus der Fachpraxis ergänzen.</w:t>
      </w:r>
    </w:p>
    <w:p>
      <w:pPr>
        <w:pStyle w:val="Heading1"/>
      </w:pPr>
      <w:r>
        <w:t>4 Aufgaben bis zur nächsten Sitzung</w:t>
      </w:r>
    </w:p>
    <w:p>
      <w:r>
        <w:t>Herr Aydin sichert die Konfiguration und liefert die Zählwerte. Frau Feldmann beschreibt die acht tatsächlich untersuchten Haushaltstypen sowie die vier bisher unbesetzten Typen. Frau Seidlein beauftragt die rechtliche Prüfung und führt Anbieterregistrierung, gemeindliche Verwendung und Folgenabschätzung als getrennte Arbeitsvorgänge. Niemand meldet heute einen Vorfall. Die Bereitschaftsübung in Dokument 05 betrifft ausschließlich einen angenommenen künftigen Betrieb; sie wird nicht in die tatsächliche Ereignischronologie dieses Projekts übernommen.</w:t>
      </w:r>
    </w:p>
    <w:p>
      <w:r>
        <w:t>Das Protokoll gibt Erklärungen und Beobachtungen wieder. Herr Degenhardt hat den Text noch nicht gegengezeichnet. Eine abweichende Rückmeldung wird dem Protokoll beigefügt, nicht stillschweigend in den ursprünglichen Stand eingearbeitet.</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HG-26-104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HG-26-104   Gemeinde Havelgrund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zur örtlichen Verwendung von Fallspur</dc:title>
  <dc:subject>HG-26-104</dc:subject>
  <dc:creator>Gemeinde Havelgrund</dc:creator>
  <cp:keywords/>
  <dc:description>generated by python-docx</dc:description>
  <cp:lastModifiedBy/>
  <cp:revision>1</cp:revision>
  <dcterms:created xsi:type="dcterms:W3CDTF">2026-10-09T08:00:00Z</dcterms:created>
  <dcterms:modified xsi:type="dcterms:W3CDTF">2026-10-09T08:00:00Z</dcterms:modified>
  <cp:category/>
</cp:coreProperties>
</file>