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Falkenhain Architektur</w:t>
      </w:r>
    </w:p>
    <w:p>
      <w:r>
        <w:t>Am Lindenrain 5 · 31224 Peine</w:t>
        <w:br/>
        <w:t>m.falkenhain@falkenhain-architektur.example</w:t>
      </w:r>
    </w:p>
    <w:p>
      <w:r>
        <w:t>Sportgemeinschaft Okerbogen e.V.</w:t>
        <w:br/>
        <w:t>Am Sportanger 8 · 31226 Peine</w:t>
      </w:r>
    </w:p>
    <w:p>
      <w:r>
        <w:t>Peine, 22.09.2026 · Bezug PE-OB26</w:t>
      </w:r>
    </w:p>
    <w:p>
      <w:pPr>
        <w:pStyle w:val="Title"/>
      </w:pPr>
      <w:r>
        <w:t>Unterlagenstand Ausbau und Bauelemente</w:t>
      </w:r>
    </w:p>
    <w:p>
      <w:r>
        <w:t>Sehr geehrte Damen und Herren,</w:t>
      </w:r>
    </w:p>
    <w:p>
      <w:r>
        <w:t>Am 22.09.2026 wurden die eingegangenen Fachbeiträge zwischen Mira Falkenhain, Enno Harms und Sina Kestner besprochen. Torben Riekert nahm für den Verein teil. Gegenstand waren die Ausbauliste LV-AU/02 vom 14.09.2026, die Türliste TL-02/C vom 19.09.2026 und die TGA-Mail vom 18.09.2026.</w:t>
      </w:r>
    </w:p>
    <w:p>
      <w:pPr>
        <w:pStyle w:val="Heading1"/>
      </w:pPr>
      <w:r>
        <w:t>1 Türen</w:t>
      </w:r>
    </w:p>
    <w:p>
      <w:r>
        <w:t>Kestner führt T-04 im Bauelemente-Leistungsbereich BE-02/C. Falkenhain weist darauf hin, dass LV-AU/02 noch vier Standard-Innentüren enthält. Die Rohbauöffnung T-04 bleibt unverändert. Die Endfassung des Schnittstellentextes soll mit beiden Leistungsbereichen abgeglichen werden; in der Sitzung wurde kein korrigiertes LV ausgegeben.</w:t>
      </w:r>
    </w:p>
    <w:p>
      <w:pPr>
        <w:pStyle w:val="Heading1"/>
      </w:pPr>
      <w:r>
        <w:t>2 Decke</w:t>
      </w:r>
    </w:p>
    <w:p>
      <w:r>
        <w:t>Harms bestätigt sechs Wartungsstellen. Der Architektur-Deckenplan A-603/B enthält vier Revisionsöffnungen. Die beiden zusätzlichen Stellen werden im nächsten Planlauf räumlich mit Leuchten und Unterkonstruktion abgestimmt. Die Planer-Bepreisung vom 14.09.2026 wurde während der Sitzung nicht neu gerechnet.</w:t>
      </w:r>
    </w:p>
    <w:p>
      <w:pPr>
        <w:pStyle w:val="Heading1"/>
      </w:pPr>
      <w:r>
        <w:t>3 Kosten und Termine</w:t>
      </w:r>
    </w:p>
    <w:p>
      <w:r>
        <w:t>Der Vorstand hält den internen Paketabschluss 16.10.2026 fest. Für die Angebotsphase sind vorläufig 21 Kalendertage und für Prüfung/Entscheidung 14 Kalendertage angesetzt. Diese Zeiträume sind interne Annahmen. Die Rückmeldung eines Unternehmens zu 35 Kalendertagen Fertigungsvorlauf liegt nur als unverbindliche telefonische Auskunft vor; eine verbindliche Lieferzusage besteht nicht.</w:t>
      </w:r>
    </w:p>
    <w:p>
      <w:r>
        <w:t>Die ursprüngliche Kostenberechnung KB-03 bleibt als Vergleichsbasis erhalten. Planänderungen und Preisänderungen sollen in der nächsten Planerfassung erkennbar sein. Der Vorstand hat noch keine Versandfreigabe erteilt. Das Protokoll wurde am 22.09.2026 durch Mira Falkenhain versandt; Einwendungen zum Gesprächsinhalt lagen bei Versand nicht vor.</w:t>
      </w:r>
    </w:p>
    <w:p>
      <w:pPr>
        <w:keepNext/>
      </w:pPr>
      <w:r>
        <w:t>Mit freundlichen Grüßen</w:t>
      </w:r>
    </w:p>
    <w:p>
      <w:pPr>
        <w:keepNext/>
      </w:pPr>
      <w:r>
        <w:t>gez. Mira Falkenhain, Architektin</w:t>
      </w:r>
    </w:p>
    <w:p>
      <w:r>
        <w:t>Anlagen: keine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PE-OB26 · 2026-09-22 ·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Unterlagenstand Ausbau und Bauelemente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2026-09-22T00:00:00Z</dcterms:created>
  <dcterms:modified xsi:type="dcterms:W3CDTF">2026-09-22T00:00:00Z</dcterms:modified>
  <cp:category/>
  <dc:language>de-DE</dc:language>
</cp:coreProperties>
</file>