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Kanzlei Quastenflug und Fadenruh</w:t>
        <w:br/>
        <w:t>Saumbogen 14, Berlin</w:t>
        <w:br/>
        <w:t>Kunigunde Quastenflug | kunigunde.quastenflug@kanzlei-fadenruh.example</w:t>
      </w:r>
    </w:p>
    <w:p>
      <w:r>
        <w:t>Faltenfels Faserhaus Gesellschaft</w:t>
        <w:br/>
        <w:t>Ottokar Saumfalter, Geschäftsleitung</w:t>
        <w:br/>
        <w:t>Knitterufer 4, Quastenau, Fantasiestaat Faltenfels</w:t>
      </w:r>
    </w:p>
    <w:p>
      <w:r>
        <w:t>05.10.2026</w:t>
      </w:r>
    </w:p>
    <w:p>
      <w:pPr>
        <w:pStyle w:val="Title"/>
      </w:pPr>
      <w:r>
        <w:t>Mandatsvereinbarung QF-26107 und gesonderte Honorarabrede</w:t>
      </w:r>
    </w:p>
    <w:p>
      <w:pPr/>
      <w:r>
        <w:t>Sehr geehrter Herr Saumfalter,</w:t>
      </w:r>
    </w:p>
    <w:p>
      <w:pPr/>
      <w:r>
        <w:t>wir bestätigen den Eingang Ihrer Anfrage. Die Parteien dieses Dokuments und der zugrunde liegende Vorgang sind erfunden. Mandantin ist allein die Faltenfels Faserhaus Gesellschaft. Der Lichtsaum Hilfe e.V. und die Stiftung Kleckskrone werden durch die Unterzeichnung nicht zu Mandanten und erhalten keine Vollmacht, über das Mandat zu verfügen.</w:t>
      </w:r>
    </w:p>
    <w:p>
      <w:pPr>
        <w:pStyle w:val="Heading1"/>
      </w:pPr>
      <w:r>
        <w:t>1 Gegenstand</w:t>
      </w:r>
    </w:p>
    <w:p>
      <w:pPr/>
      <w:r>
        <w:t>Sie beauftragen uns, die Unterlagen zum angenommenen Listungsvorgang TRAIN-EU-FF-02 zu sichten, die Identitäts- und Vertretungsunterlagen zusammenzustellen und mit Ihnen die mögliche weitere Korrespondenz zu besprechen. Ein Vertragsabschluss über Waren oder Lagerleistungen ist nicht Gegenstand dieses Auftrags. Die Unterzeichnung ersetzt weder eine erforderliche gesonderte Prüfung der Mandatsbearbeitung noch eine Entscheidung über den Umgang mit Geld. Eine Erfolgsaussage wird nicht vereinbart.</w:t>
      </w:r>
    </w:p>
    <w:p>
      <w:pPr>
        <w:pStyle w:val="Heading1"/>
      </w:pPr>
      <w:r>
        <w:t>2 Vergütung und Abrechnung</w:t>
      </w:r>
    </w:p>
    <w:p>
      <w:pPr/>
      <w:r>
        <w:t>Der vereinbarte Stundensatz beträgt 300,00 EUR netto. Für zunächst zwölf Stunden wird ein Vorschuss von 3600,00 EUR netto angesetzt. Die vorläufige Abrechnungsnotiz enthält außerdem 684,00 EUR Umsatzsteuer, insgesamt 4284,00 EUR. Herr Saumfalter hat bislang keine Unterlagen zum Unternehmerstatus und Leistungsort übergeben. Die steuerliche Behandlung ist deshalb vor Ausstellung einer endgültigen Rechnung zu klären; insbesondere ist der vorläufige Steuerausweis keine Feststellung einer tatsächlich bestehenden Steuerschuld. Ein Zahlungseingang liegt bei Unterzeichnung nicht vor.</w:t>
      </w:r>
    </w:p>
    <w:p>
      <w:pPr>
        <w:pStyle w:val="Heading1"/>
      </w:pPr>
      <w:r>
        <w:t>3 Zahlungsweg</w:t>
      </w:r>
    </w:p>
    <w:p>
      <w:pPr/>
      <w:r>
        <w:t>Vereinbart ist eine Zahlung aus Mitteln der Mandantin. Ein Angebot eines Dritten zur Zahlung oder Verrechnung bedarf einer gesonderten schriftlichen Abstimmung und wird durch diese Vereinbarung nicht angenommen. Die rein interne Kontoreferenz TRAIN-KANZLEI-FF-01 ist keine nutzbare Bankverbindung. Gelder für die Lieferung des Lichtsaum Hilfe e.V. sollen nicht auf einem Mandantenkonto dieser Kanzlei gesammelt werden.</w:t>
      </w:r>
    </w:p>
    <w:p>
      <w:pPr>
        <w:pStyle w:val="Heading1"/>
      </w:pPr>
      <w:r>
        <w:t>4 Kommunikation</w:t>
      </w:r>
    </w:p>
    <w:p>
      <w:pPr/>
      <w:r>
        <w:t>Herr Saumfalter übersendet Unterlagen über ottokar.saumfalter@faserhaus.example. Die Kanzlei verwendet ausschließlich kunigunde.quastenflug@kanzlei-fadenruh.example. Eine Erklärung gegenüber Dritten wird vor Versand mit dem bezeichneten Ansprechpartner abgestimmt.</w:t>
      </w:r>
    </w:p>
    <w:p>
      <w:pPr/>
      <w:r>
        <w:t>Kunigunde Quastenflug und Ottokar Saumfalter</w:t>
        <w:br/>
        <w:t>Unterzeichnung am 05.10.2026, 16:00 Uhr; jeder erhält eine Ausfertigung.</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Mandatsvereinbarung QF-26107 und gesonderte Honorarabrede</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