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Kanzlei Quastenflug und Fadenruh</w:t>
        <w:br/>
        <w:t>Roswitha Knopfsegel, Mandatsabrechnung</w:t>
        <w:br/>
        <w:t>roswitha.knopfsegel@kanzlei-fadenruh.example</w:t>
      </w:r>
    </w:p>
    <w:p>
      <w:r>
        <w:t>Kunigunde Quastenflug</w:t>
        <w:br/>
        <w:t>Mandatsakte QF-26107</w:t>
      </w:r>
    </w:p>
    <w:p>
      <w:r>
        <w:t>16.10.2026</w:t>
      </w:r>
    </w:p>
    <w:p>
      <w:pPr>
        <w:pStyle w:val="Title"/>
      </w:pPr>
      <w:r>
        <w:t>Abrechnungsnotiz QF-26107 und noch offene Absenderangaben</w:t>
      </w:r>
    </w:p>
    <w:p>
      <w:pPr/>
      <w:r>
        <w:t>Frau Quastenflug,</w:t>
      </w:r>
    </w:p>
    <w:p>
      <w:pPr/>
      <w:r>
        <w:t>anbei die aus den Zeitzetteln übernommene Aufstellung. Sie betrifft ausschließlich den erfundenen Vorgang der Faltenfels Faserhaus Gesellschaft. Die Angaben sind keine Rechnung und keine Entscheidung darüber, ob eine Zahlung entgegengenommen werden kann. Eine Buchung auf dem Kanzleikonto konnte ich bis heute um 10:00 Uhr nicht feststellen.</w:t>
      </w:r>
    </w:p>
    <w:p>
      <w:pPr>
        <w:pStyle w:val="Heading1"/>
      </w:pPr>
      <w:r>
        <w:t>1 Erfasste Zeiten</w:t>
      </w:r>
    </w:p>
    <w:p>
      <w:pPr/>
      <w:r>
        <w:t>Am 06.10.2026 wurden 1,5 Stunden für das Gespräch mit Herrn Saumfalter erfasst. Am 07.10.2026 sind 2 Stunden für die Sichtung der übersandten Unternehmensunterlagen eingetragen. Am 08.10.2026 stehen 3 Stunden für das Ordnen und Vergleichen der Identitätsunterlagen im Zeitzettel. Am 12.10.2026 kam 1 Stunde für ein weiteres Mandantengespräch hinzu. Am 14.10.2026 wurden 2,5 Stunden für die Zusammenstellung der vorhandenen Korrespondenz vermerkt. Am 15.10.2026 wurden 2 Stunden für die Abstimmung über nachzureichende Unterlagen erfasst. Zusammen sind das zwölf Stunden zu 300,00 EUR, also 3600,00 EUR netto. Die Leistungstexte enthalten keine weitere inhaltliche Stellungnahme.</w:t>
      </w:r>
    </w:p>
    <w:p>
      <w:pPr>
        <w:pStyle w:val="Heading1"/>
      </w:pPr>
      <w:r>
        <w:t>2 Vorläufige Beträge</w:t>
      </w:r>
    </w:p>
    <w:p>
      <w:pPr/>
      <w:r>
        <w:t>Die in der Vereinbarung angesetzten 684,00 EUR Umsatzsteuer und damit 4284,00 EUR Gesamtbetrag stehen weiter unter dem dort genannten Vorbehalt. Unterlagen zum Unternehmerstatus und Leistungsort sind nicht eingegangen. Ich habe deshalb noch keine endgültige Rechnung ausgestellt und keine Forderung mit gesondert ausgewiesener Steuer an einen Dritten geschickt.</w:t>
      </w:r>
    </w:p>
    <w:p>
      <w:pPr>
        <w:pStyle w:val="Heading1"/>
      </w:pPr>
      <w:r>
        <w:t>3 Nachricht der Stiftung</w:t>
      </w:r>
    </w:p>
    <w:p>
      <w:pPr/>
      <w:r>
        <w:t>Walburga Federquast hat am 15. Oktober telefonisch gefragt, ob sie die Kanzleikosten von den für den Lichtsaum Hilfe e.V. vorgesehenen 15000,00 EUR abziehen könne. Einen schriftlichen Auftrag des Vereins oder eine Zustimmung der Mandantin hierzu hat sie nicht geschickt. Ich habe keine neue Empfängerrechnung erstellt. Bei einem bloßen Rechenabzug von 4284,00 EUR verblieben aus dem zugesagten Betrag 10716,00 EUR; dieser Abzug ist weder gebucht noch vereinbart.</w:t>
      </w:r>
    </w:p>
    <w:p>
      <w:pPr/>
      <w:r>
        <w:t>Roswitha Knopfsegel</w:t>
        <w:br/>
        <w:t>Abrechnung | 16.10.2026, 10:35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Abrechnungsnotiz QF-26107 und noch offene Absenderangaben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