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Zwirnrad Werkteile Gesellschaft</w:t>
        <w:br/>
        <w:t>Roswitha Flitterspule, Protokollführung | roswitha.flitterspule@zwirnrad.example</w:t>
      </w:r>
    </w:p>
    <w:p>
      <w:r>
        <w:t>Verwaltungsrat und Geschäftsleitung</w:t>
        <w:br/>
        <w:t>Auszug für den Vorgang KQ-26091</w:t>
      </w:r>
    </w:p>
    <w:p>
      <w:r>
        <w:t>30.09.2026</w:t>
      </w:r>
    </w:p>
    <w:p>
      <w:pPr>
        <w:pStyle w:val="Title"/>
      </w:pPr>
      <w:r>
        <w:t>Sitzungsniederschrift vom 30. September 2026</w:t>
      </w:r>
    </w:p>
    <w:p>
      <w:pPr/>
      <w:r>
        <w:t>Sitzung am Spulenhof 18 von 09:00 bis 10:05 Uhr. Dieser Sitzungsort und sämtliche Beteiligten sind erfunden. Das Protokoll wurde von Roswitha Flitterspule unmittelbar nach Sitzungsende erstellt. Die unterschriebene Urschrift verbleibt nach Angaben des Gesellschaftsbüros in dessen Beschlussmappe.</w:t>
      </w:r>
    </w:p>
    <w:p>
      <w:pPr>
        <w:pStyle w:val="Heading1"/>
      </w:pPr>
      <w:r>
        <w:t>1 Anwesenheit</w:t>
      </w:r>
    </w:p>
    <w:p>
      <w:pPr/>
      <w:r>
        <w:t>Anwesend waren die von Ottokar Falterich benannten Mitglieder Ottilie Fadenquast, Kunigunde Flatterknopf und Willibald Samtzipfel sowie die von den übrigen Anteilseignern benannten Mitglieder Edeltraud Knitterkranz und Burkhard Fransenflug. Ottokar Falterich selbst nahm nicht teil. Die Geschäftsleitung war durch Walburga Samtflaus vertreten. Die Protokollführung hatte kein Stimmrecht.</w:t>
      </w:r>
    </w:p>
    <w:p>
      <w:pPr>
        <w:pStyle w:val="Heading1"/>
      </w:pPr>
      <w:r>
        <w:t>2 Ersatzteilauftrag</w:t>
      </w:r>
    </w:p>
    <w:p>
      <w:pPr/>
      <w:r>
        <w:t>Die Geschäftsleitung erläuterte den Ausfall zweier Wickelplätze. Der Vertrag KQ-26091 über 86400,00 EUR wurde mit den Stimmen von Ottilie Fadenquast, Kunigunde Flatterknopf und Willibald Samtzipfel gebilligt. Edeltraud Knitterkranz stimmte dagegen, weil die Wartung des älteren Antriebs noch nicht abgeschlossen sei. Burkhard Fransenflug enthielt sich wegen der fehlenden Typenschildfotos. Die Geschäftsleitung erhielt den Auftrag, die Anzahlung von 25920,00 EUR für den 5. Oktober vorzubereiten. Eine Änderung des Zahlungsempfängers wurde nicht besprochen.</w:t>
      </w:r>
    </w:p>
    <w:p>
      <w:pPr>
        <w:pStyle w:val="Heading1"/>
      </w:pPr>
      <w:r>
        <w:t>3 Besetzung und angekündigter Anteilsverkauf</w:t>
      </w:r>
    </w:p>
    <w:p>
      <w:pPr/>
      <w:r>
        <w:t>Frau Samtflaus berichtete über ein Gespräch mit dem Büro von Herrn Falterich. Es seien noch keine Übergabeunterlagen für den behaupteten Anteilsverkauf eingetroffen. Keines der drei von ihm benannten Mitglieder erklärte einen Rücktritt. Ein neuer Gesellschafter wurde weder zur Sitzung eingeladen noch mit einer Vollmacht vertreten. Die Verwaltungsratsordnung vom 18. Februar 2024 lag als unveränderte Arbeitsgrundlage auf dem Tisch.</w:t>
      </w:r>
    </w:p>
    <w:p>
      <w:pPr>
        <w:pStyle w:val="Heading1"/>
      </w:pPr>
      <w:r>
        <w:t>4 Versand des Auszugs</w:t>
      </w:r>
    </w:p>
    <w:p>
      <w:pPr/>
      <w:r>
        <w:t>Der Exportabwicklung soll nur dieser Auszug mit Anwesenheit und Bestellentscheidung geschickt werden. Die vertraulichen Investitionsbeträge für das kommende Jahr wurden deshalb nicht aufgenommen. Die Auslassung betrifft keine abweichende Abstimmung über KQ-26091.</w:t>
      </w:r>
    </w:p>
    <w:p>
      <w:pPr/>
      <w:r>
        <w:t>Roswitha Flitterspule</w:t>
        <w:br/>
        <w:t>Protokoll abgeschlossen am 30.09.2026, 11:25 Uhr; Gegenzeichnung Walburga Samtflaus, 14:10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Sitzungsniederschrift vom 30. September 2026</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