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Klingelspule Components Gesellschaft</w:t>
        <w:br/>
        <w:t>Bimmelhof 3, Quasselbrunn, Fantasiestaat Klingelgau</w:t>
        <w:br/>
        <w:t>Ottilie Wimpelflug | ottilie.wimpelflug@klingelspule.example</w:t>
      </w:r>
    </w:p>
    <w:p>
      <w:r>
        <w:t>Fransenquell Technik GmbH</w:t>
        <w:br/>
        <w:t>Burkhard Quastenknopf, Vertrieb</w:t>
        <w:br/>
        <w:t>Fadenhof 16, Berlin</w:t>
      </w:r>
    </w:p>
    <w:p>
      <w:r>
        <w:t>28.09.2026</w:t>
      </w:r>
    </w:p>
    <w:p>
      <w:pPr>
        <w:pStyle w:val="Title"/>
      </w:pPr>
      <w:r>
        <w:t>Share register extract KS-2609 and company secretary statement</w:t>
      </w:r>
    </w:p>
    <w:p>
      <w:pPr/>
      <w:r>
        <w:t>Dear Mr Quastenknopf,</w:t>
      </w:r>
    </w:p>
    <w:p>
      <w:pPr/>
      <w:r>
        <w:t>I am sending our internal register extract as requested for the current orders. Klingelspule Components Gesellschaft and every person mentioned in this statement are fictional. This is a statement by the company's secretary in the training scenario, not a certified extract from an actual public register.</w:t>
      </w:r>
    </w:p>
    <w:p>
      <w:pPr>
        <w:pStyle w:val="Heading1"/>
      </w:pPr>
      <w:r>
        <w:t>1 Shares and voting rights</w:t>
      </w:r>
    </w:p>
    <w:p>
      <w:pPr/>
      <w:r>
        <w:t>The company has 1000 ordinary shares. Each share carries one vote. Kunibert Klapperquast holds 300 shares, representing 30 percent. Walburga Knistersaum holds 250 shares, representing 25 percent. Ottokar Quasselknopf holds 150 shares, representing 15 percent. Edeltraud Bimmelflaum holds 120 shares, representing 12 percent. Willibald Saumkringel holds 100 shares, representing 10 percent. Ottilie Wimpelflug holds 80 shares, representing 8 percent. There are no other issued shares in this register. None of the entries is marked as a nominee holding.</w:t>
      </w:r>
    </w:p>
    <w:p>
      <w:pPr>
        <w:pStyle w:val="Heading1"/>
      </w:pPr>
      <w:r>
        <w:t>2 Separate holdings</w:t>
      </w:r>
    </w:p>
    <w:p>
      <w:pPr/>
      <w:r>
        <w:t>Mr Klapperquast and Ms Knistersaum acquired their holdings under different transfers. Our register does not record either of them as acting for the other. They each receive notices directly. We have no recorded voting pool between them and no document saying that the 300 shares include any of the 250 shares. The 450 shares held by the other four persons are separate from both holdings. I cannot certify the absence of every possible agreement outside our files.</w:t>
      </w:r>
    </w:p>
    <w:p>
      <w:pPr>
        <w:pStyle w:val="Heading1"/>
      </w:pPr>
      <w:r>
        <w:t>3 Current documents</w:t>
      </w:r>
    </w:p>
    <w:p>
      <w:pPr/>
      <w:r>
        <w:t>The identity reference for Mr Klapperquast is TRAIN-ID-KG-61 and that for Ms Knistersaum is TRAIN-ID-KG-68. Their birth dates and addresses in our identity forms match those in the attachment TRAIN-US-KG-03 supplied with your enquiry. No transfer has been recorded since 1 August 2026. The director's email suggesting that one holding may be sold refers to a discussion only. We have received neither an executed transfer nor an amended voting instruction.</w:t>
      </w:r>
    </w:p>
    <w:p>
      <w:pPr/>
      <w:r>
        <w:t>Kind regards,</w:t>
        <w:br/>
        <w:t>Ottilie Wimpelflug</w:t>
        <w:br/>
        <w:t>Company secretary | KS-2609</w:t>
        <w:br/>
        <w:t>Signed for the internal company file on 28 September 2026 at 14:30 local office time.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register extract KS-2609 and company secretary statement</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