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Lars Niemeyer und Felix Brandes</w:t>
        <w:br/>
        <w:t>Kopie: Bettina Kruse, Buchhaltungsordner</w:t>
      </w:r>
    </w:p>
    <w:p>
      <w:r>
        <w:t>Hannover, 22. September 2026</w:t>
        <w:br/>
        <w:t>Bezug: Notiz BK / Besprechung 16:00 bis 16:50 Uhr</w:t>
      </w:r>
    </w:p>
    <w:p>
      <w:pPr>
        <w:pStyle w:val="Title"/>
      </w:pPr>
      <w:r>
        <w:t>Bürobesprechung zu Zahlungen und Montage</w:t>
      </w:r>
    </w:p>
    <w:p>
      <w:pPr>
        <w:widowControl/>
      </w:pPr>
      <w:r>
        <w:t>Sehr geehrte Herren,</w:t>
      </w:r>
    </w:p>
    <w:p>
      <w:pPr>
        <w:widowControl/>
      </w:pPr>
      <w:r>
        <w:t>nachfolgend halte ich unsere heutige Bürobesprechung fest. Wir haben weder eine Gesellschafterversammlung durchgeführt noch eine neue Zahlungsvereinbarung unterschrieben. Teilgenommen haben Lars Niemeyer, Felix Brandes und ich. Frau Schünemann kam für die Einsatzplanung kurz hinzu.</w:t>
      </w:r>
    </w:p>
    <w:p>
      <w:pPr>
        <w:pStyle w:val="Heading1"/>
        <w:keepNext/>
        <w:spacing w:after="0"/>
      </w:pPr>
      <w:r>
        <w:t>1 Kundeneingänge</w:t>
      </w:r>
    </w:p>
    <w:p>
      <w:pPr>
        <w:keepNext/>
        <w:spacing w:before="0" w:after="0" w:line="220" w:lineRule="exact"/>
        <w:rPr>
          <w:sz w:val="22"/>
          <w:szCs w:val="22"/>
        </w:rPr>
      </w:pPr>
    </w:p>
    <w:p>
      <w:pPr>
        <w:widowControl/>
      </w:pPr>
      <w:r>
        <w:t>Ich habe heute mit Ralf Hartung telefoniert. Er will die 8.450,00 EUR aus NB-260910 am 25. September bezahlen. Eine schriftliche Bestätigung liegt nicht vor. Bei der Praxis Riedgarten steht die Rechnung über 9.790,00 EUR zum 28. September im System; aus den bisherigen Abläufen rechne ich mit dem 29. September als Eingang, habe aber niemanden erreicht. Für WEG Lenzstraße ist noch kein Zahlungslauf bekannt. Die Rechnung an Borkel ist erst am 5. Oktober fällig.</w:t>
      </w:r>
    </w:p>
    <w:p>
      <w:pPr>
        <w:widowControl/>
      </w:pPr>
      <w:r>
        <w:t>Für Hofgarten gibt es keine Zahlungsankündigung. Felix möchte am 25. September den Geräuschpunkt angehen. Er hält weder eine neue Pumpe noch die von Herrn Trautmann genannten 8.000 bis 12.000 EUR schon für erforderlich. Lars möchte, dass wir die offenen 20.000,00 EUR im Buchungsbestand lassen. Eine Gutschrift wurde nicht erstellt. Die 42.840,00 EUR Schlussrate sind noch nicht fakturiert und gehören deshalb nicht in die OP-Summe.</w:t>
      </w:r>
    </w:p>
    <w:p>
      <w:pPr>
        <w:pStyle w:val="Heading1"/>
        <w:keepNext/>
        <w:spacing w:after="0"/>
      </w:pPr>
      <w:r>
        <w:t>2 Ausgänge und Personal</w:t>
      </w:r>
    </w:p>
    <w:p>
      <w:pPr>
        <w:keepNext/>
        <w:spacing w:before="0" w:after="0" w:line="220" w:lineRule="exact"/>
        <w:rPr>
          <w:sz w:val="22"/>
          <w:szCs w:val="22"/>
        </w:rPr>
      </w:pPr>
    </w:p>
    <w:p>
      <w:pPr>
        <w:widowControl/>
      </w:pPr>
      <w:r>
        <w:t>Die sechs Kreditorenposten sind nach meinem heutigen Abgleich offen. Für die Liquiditätsübersicht setze ich die überfällige Rößler-Rechnung vorläufig auf den 23. September, die übrigen Beträge auf ihre bisherigen Fälligkeiten. Das ist keine bereits angelegte Zahlungsliste. Eine Teilzahlung an Rößler könnte Lars anfragen; ohne Zustimmung des Lieferanten lasse ich dessen vollen offenen Betrag stehen.</w:t>
      </w:r>
    </w:p>
    <w:p>
      <w:pPr>
        <w:widowControl/>
      </w:pPr>
      <w:r>
        <w:t>Die Lohnzahlen stammen aus Frau Lohses Mail von heute. Beide Geschäftsführer haben nur über neue Beträge gesprochen. Für September bleibt der bisherige Abrechnungslauf maßgeblich. Die Belegschaft besteht weiter aus 15 Personen; Kündigungen, Betriebsübergang oder eine Übertragung von Fahrzeugen an Felix sind nicht geplant. Die zwei Auszubildenden begleiten weiterhin feste Gesellen. Am Freitag fallen daher keine zusätzlichen Leiharbeiterkosten an.</w:t>
      </w:r>
    </w:p>
    <w:p>
      <w:pPr>
        <w:pStyle w:val="Heading1"/>
        <w:keepNext/>
        <w:spacing w:after="0"/>
      </w:pPr>
      <w:r>
        <w:t>3 Zuständigkeiten und Stand</w:t>
      </w:r>
    </w:p>
    <w:p>
      <w:pPr>
        <w:keepNext/>
        <w:spacing w:before="0" w:after="0" w:line="220" w:lineRule="exact"/>
        <w:rPr>
          <w:sz w:val="22"/>
          <w:szCs w:val="22"/>
        </w:rPr>
      </w:pPr>
    </w:p>
    <w:p>
      <w:pPr>
        <w:widowControl/>
      </w:pPr>
      <w:r>
        <w:t>Felix führt den Kundentermin; Lars spricht mit Rößler und mit der Kanzlei. Ich stelle OP-Listen und Kontobild bereit. Für neue Finanzierungsverträge habe ich keinen Auftrag erhalten. Unsere interne Bankmaske verlangt bei Sammelzahlungen zwei Freigaben, von denen eine von einem Geschäftsführer kommen muss. Diese technische Einstellung ist nicht mit der Einzelprokura im Register gleichzusetzen.</w:t>
      </w:r>
    </w:p>
    <w:p>
      <w:pPr>
        <w:keepNext/>
        <w:widowControl/>
      </w:pPr>
      <w:r>
        <w:t>Die Übersicht soll bis 2. Oktober reichen. Noch nicht berücksichtigt werden können der endgültige USt-Zahlbetrag im Oktober, ein Aufwand nach Öffnung des feuchten Sockels und nicht bestellte Fremdmessungen. Für einen endgültigen Abschluss nach August fehlen noch Belege. Bis morgen möchte ich die heute besprochenen Eingangstermine als eigene Annahmen neben die OP-Daten setzen.</w:t>
      </w:r>
    </w:p>
    <w:p>
      <w:pPr>
        <w:keepLines/>
      </w:pPr>
      <w:r>
        <w:t>Mit freundlichen Grüßen</w:t>
        <w:br/>
        <w:t>Bettina Kruse</w:t>
        <w:br/>
        <w:t>Prokuristin</w:t>
        <w:br/>
        <w:t>Notiz verteilt am 22.09.2026, 17:10 Uhr</w:t>
      </w:r>
    </w:p>
    <w:sectPr w:rsidR="00FC693F" w:rsidRPr="0006063C" w:rsidSect="00034616">
      <w:headerReference w:type="default" r:id="rId9"/>
      <w:footerReference w:type="default" r:id="rId10"/>
      <w:pgSz w:w="11906" w:h="16838"/>
      <w:pgMar w:top="1644" w:right="1191" w:bottom="1191"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Sitz Hannover · Amtsgericht Hannover HRB 218764 · Geschäftsführer Lars Niemeyer und Felix Brandes</w:t>
      <w:br/>
      <w:t xml:space="preserve">Notiz BK / Besprechung 16:00 bis 16:50 Uhr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rPr>
      <w:t>Niemeyer &amp; Brandes Gebäudetechnik GmbH</w:t>
      <w:br/>
    </w:r>
    <w:r>
      <w:t>Hägenstraße 38, 30559 Hannover</w:t>
      <w:br/>
      <w:t>Telefon 0511 763920-0 · buero@nb-gebaeudetechnik.de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7"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7"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Bürobesprechung zu Zahlungen und Montage</dc:title>
  <dc:subject/>
  <dc:creator>Niemeyer &amp; Brandes Gebäudetechnik GmbH</dc:creator>
  <cp:keywords/>
  <dc:description>generated by python-docx</dc:description>
  <cp:lastModifiedBy/>
  <cp:revision>1</cp:revision>
  <dcterms:created xsi:type="dcterms:W3CDTF">2026-09-23T14:00:00Z</dcterms:created>
  <dcterms:modified xsi:type="dcterms:W3CDTF">2026-09-23T14:00:00Z</dcterms:modified>
  <cp:category/>
  <dc:language>de-DE</dc:language>
</cp:coreProperties>
</file>