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Auftrag und Verfahrensstand</w:t>
      </w:r>
    </w:p>
    <w:p>
      <w:pPr/>
      <w:r>
        <w:t>Korbinian Seidel verbüßt als erwachsener Mann eine rechtskräftige Freiheitsstrafe. Er hat früher in der Lagerverwaltung gearbeitet und möchte einen Fernkurs zur kaufmännischen Datenverarbeitung abschließen. Seit Juni bearbeitet er gedruckte Lernhefte. Für das nächste Modul sind Tabellenübungen mit einer bestimmten Softwaredatei vorgesehen.</w:t>
      </w:r>
    </w:p>
    <w:p>
      <w:pPr/>
      <w:r>
        <w:t>Er hat einen eigenen gebrauchten Laptop ohne Funkbetrieb und eine kontrollierte Übertragung der Kursdateien beantragt. Die Anstalt hat den Besitz abgelehnt und auf einen wöchentlichen betreuten Computertermin verwiesen. Die tatsächliche Verfügbarkeit und Softwareausstattung dieses Termins sind nach der Korrespondenz nicht abschließend geklärt.</w:t>
      </w:r>
    </w:p>
    <w:p>
      <w:pPr/>
      <w:r>
        <w:t>Stichtag ist der 16.10.2026. Die gerichtliche Antragsschrift ist als bearbeitbarer Parteientwurf vorbereitet. Weder ein Anspruch auf Internetzugang noch ein Recht auf beliebige Geräte soll unterstellt werden. Die Prüfung soll den konkreten Kursbedarf, die Kontrollmöglichkeiten, die Sicherheitsbedenken und die tatsächlich erreichbaren Alternativen zusammenführen.</w:t>
      </w:r>
    </w:p>
    <w:p>
      <w:pPr/>
      <w:r>
        <w:t>Ansprechperson der Anstalt: Ulrich Tannhäuser, Leiter der Vollzugsabteilung, Auenfeld 31, 93055 Regensburg. Anwaltliche Korrespondenz: Rechtsanwältin Daria Buchner, Wacholdersteg 5, 93047 Regensburg, d.buchner@kanzlei-buchner.example.</w:t>
      </w:r>
    </w:p>
    <w:p>
      <w:pPr/>
      <w:r>
        <w:t>Der Arbeitsauftrag umfasst eine belegte Chronologie, die Abgrenzung der einzelnen Antragsgegenstände und die Prüfung des vorhandenen gerichtlichen Entwurfs. Fehlende Unterlagen sollen konkret angefordert werden. Ein Versand, eine Einreichung oder die Zusage einer Vollzugsmaßnahme ist nicht beauftragt.</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und Verfahrensstand</dc:title>
  <dc:subject/>
  <dc:creator>Rechtsanwältin Daria Buchner</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