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auf gerichtliche Entscheidung</w:t>
      </w:r>
    </w:p>
    <w:p>
      <w:pPr/>
      <w:r>
        <w:t>Rechtsanwältin Daria Buchner</w:t>
        <w:br/>
        <w:t>Wacholdersteg 5, 93047 Regensburg</w:t>
        <w:br/>
        <w:t>d.buchner@kanzlei-buchner.example</w:t>
      </w:r>
    </w:p>
    <w:p>
      <w:pPr/>
      <w:r>
        <w:t>An die Strafvollstreckungskammer des zuständigen Landgerichts</w:t>
        <w:br/>
        <w:t>Gerichtsort vor Einreichung anhand des Sitzes der Vollzugsbehörde zuzuordnen</w:t>
      </w:r>
    </w:p>
    <w:p>
      <w:pPr/>
      <w:r>
        <w:t>16.10.2026</w:t>
        <w:br/>
        <w:t>In der Vollzugssache Korbinian Seidel, geboren am 04.04.1993, Justizvollzugsanstalt Regensburg Auenfeld, Auenfeld 31, 93055 Regensburg, gegen die Leitung der Justizvollzugsanstalt Regensburg Auenfeld. Vollzugsaktenzeichen: AF-882/25.</w:t>
      </w:r>
    </w:p>
    <w:p>
      <w:pPr>
        <w:pStyle w:val="Heading1"/>
      </w:pPr>
      <w:r>
        <w:t>1. Anträge</w:t>
      </w:r>
    </w:p>
    <w:p>
      <w:pPr/>
      <w:r>
        <w:t>Namens und in Vollmacht der antragstellenden Person wird beantragt, die Anstalt unter Aufhebung des Bescheids vom 02.10.2026 zu verpflichten, über die beantragte Nutzung eines überprüfbaren Offlinegeräts, hilfsweise über eine tatsächlich geeignete betreute Kursalternative, erneut auf vollständiger Tatsachengrundlage zu entscheiden.</w:t>
      </w:r>
    </w:p>
    <w:p>
      <w:pPr/>
      <w:r>
        <w:t>Es wird ferner um Beiziehung der vollständigen Vorgangsakte einschließlich der internen Stellungnahmen und der im Bescheid angesprochenen Planungsunterlagen gebeten. Soweit weitere tatsächliche Aufklärung erforderlich ist, wird um einen gerichtlichen Hinweis und Gelegenheit zur Ergänzung gebeten.</w:t>
      </w:r>
    </w:p>
    <w:p>
      <w:pPr>
        <w:pStyle w:val="Heading1"/>
      </w:pPr>
      <w:r>
        <w:t>2. Verfahrensstand</w:t>
      </w:r>
    </w:p>
    <w:p>
      <w:pPr/>
      <w:r>
        <w:t>Der Antrag an die Anstalt datiert vom 17.09.2026. Hierüber wurde mit Bescheid vom 02.10.2026 entschieden. Die vollständige Ausfertigung wurde am 05.10.2026 persönlich ausgehändigt. Dies wird durch den Bekanntgabevermerk belegt. Der vorliegende Schriftsatz ist für eine Einreichung am 16.10.2026 vorbereitet; ein tatsächlich erfolgter gerichtlicher Eingang wird damit nicht behauptet. Beweis: Antrag, Anlage A1; Bescheid, Anlage A2; Bekanntgabevermerk, Anlage A3.</w:t>
      </w:r>
    </w:p>
    <w:p>
      <w:pPr/>
      <w:r>
        <w:t>Der Antrag auf gerichtliche Entscheidung betrifft die abgelehnten Einzelmaßnahmen im Sinne von Paragraf 109 Absatz 1 StVollzG. Die antragstellende Person macht eine Verletzung eigener Rechte geltend. Für die örtliche Zuständigkeit ist nach Paragraf 110 StVollzG der Sitz der beteiligten Vollzugsbehörde maßgeblich.</w:t>
      </w:r>
    </w:p>
    <w:p>
      <w:pPr/>
      <w:r>
        <w:t>Bei der belegten ersten schriftlichen Bekanntgabe am Montag, dem 05.10.2026, endet die Zweiwochenfrist nach Paragraf 112 Absatz 1 in Verbindung mit Paragraf 120 Absatz 1 StVollzG und Paragraf 43 StPO grundsätzlich am Montag, dem 19.10.2026. Eine erneute Bitte an die Anstalt und deren Zwischennachricht setzen diese Frist nicht erneut in Gang. Für die fristgerechte schriftliche Antragstellung ist der Eingang beim Gericht zu sichern; eine bloße Abgabe bei der JVA-Poststelle wird nicht mit dem Gerichtseingang gleichgesetzt.</w:t>
      </w:r>
    </w:p>
    <w:p>
      <w:pPr/>
      <w:r>
        <w:t>Beantragt wird eine erneute sachgerechte Entscheidung auf vollständiger Tatsachengrundlage. Eine unmittelbare Gewährung der Maßnahme wird bei noch offenen tatsächlichen Voraussetzungen nicht als spruchreif dargestellt. Maßgeblich sind die Entscheidungsformen und die Kontrolle der Ermessensausübung nach Paragraf 115 StVollzG.</w:t>
      </w:r>
    </w:p>
    <w:p>
      <w:pPr>
        <w:pStyle w:val="Heading1"/>
      </w:pPr>
      <w:r>
        <w:t>3. Sachverhalt und Begründung</w:t>
      </w:r>
    </w:p>
    <w:p>
      <w:pPr/>
      <w:r>
        <w:t>Die Antragstellerseite verlangt keinen unkontrollierten Rechner und keinen Internetzugang. Sie hat einen begrenzten Bildungszweck, lokale Dateien und einen kontrollierten Übertragungsweg benannt. Das nachgereichte Werkstattangebot ist noch kein abschließender Sicherheitsnachweis. Es eröffnet aber eine konkrete Prüfung, statt die Eignung allein aus einer allgemeinen Gerätebezeichnung abzuleiten. Beleg: Anlagen A1, A5 und A6.</w:t>
      </w:r>
    </w:p>
    <w:p>
      <w:pPr/>
      <w:r>
        <w:t>Die Anstalt benennt zutreffend Risiken zusätzlicher Speicher- und Kommunikationsmöglichkeiten. Eine bloße Zusage des Offlinebetriebs würde diese Risiken nicht beseitigen. Zu prüfen bleiben jedoch die tatsächlichen Komponenten, die Reichweite einer Versiegelung, der Kontrollaufwand im weiteren Betrieb und die Möglichkeit eines anstaltseigenen Geräts. Der Antragsteller ist bereit, seine Bitte auf ein überprüfbares Profil zu begrenzen. Beleg: Anlagen A2, A4 und A6.</w:t>
      </w:r>
    </w:p>
    <w:p>
      <w:pPr/>
      <w:r>
        <w:t>Der frühere Datenträgervorgang spricht für klare Kontrollen. Er belegt nach dem Bescheid keine Außenkommunikation. Die Begründung muss deshalb den konkreten Vorgang und die gegenwärtigen Kontrollvorschläge zusammen betrachten. Der Entwurf beansprucht keine automatische Genehmigung aufgrund bisheriger Bildungsbemühungen. Beleg: Anlagen A2, A7 und A8.</w:t>
      </w:r>
    </w:p>
    <w:p>
      <w:pPr/>
      <w:r>
        <w:t>Die hilfsweise angebotene Computerraumnutzung wurde weder mit den Kursdateien erprobt noch hinsichtlich Arbeitsüberschneidung und Ausfallvertretung geklärt. Die Kursbestätigung beschreibt einen realen Bedarf, lässt aber auch eine betreute Alternative zu. Über diese Alternative muss anhand der tatsächlichen Ausstattung und erreichbaren Zeiten entschieden werden. Die mögliche Fristverlängerung mindert Zeitdruck, ersetzt aber keine nutzbare Kursorganisation. Beleg: Anlagen A1, A2, A5, A7 und A8.</w:t>
      </w:r>
    </w:p>
    <w:p>
      <w:pPr/>
      <w:r>
        <w:t>Artikel 39 Absatz 4 BayStVollzG sieht für geeignete Gefangene die Gelegenheit zu Berufsausbildung, beruflicher Weiterbildung oder anderen ausbildenden oder weiterbildenden Maßnahmen vor und setzt die dort bezeichnete Zustimmung voraus. Artikel 40 Absatz 1 Satz 2 betrifft berufsbezogenen begleitenden Unterricht. Ob der konkrete Fernkurs unter die jeweilige Bildungsregel fällt, ist anhand des Kursinhalts und der Vollzugsplanung zu bestimmen. Daraus folgt noch keine automatische Genehmigung eines beliebigen privaten Geräts.</w:t>
      </w:r>
    </w:p>
    <w:p>
      <w:pPr/>
      <w:r>
        <w:t>Für den Besitz angemessener Gegenstände zur Fortbildung ist Artikel 72 Absatz 1 und 2 BayStVollzG heranzuziehen. Die konkrete Eignung zur Gefährdung und die Kontrollierbarkeit bleiben zu prüfen. Die besondere gesetzliche Vermutung für elektronische Unterhaltungsmedien darf nicht allein wegen elektronischer Technik auf jeden als Bildungsgerät beantragten Rechner übertragen werden. Ebenso wenig darf der Bildungszweck sämtliche Gefahren von Speicherung, Schnittstellen und nachträglichen Veränderungen ausblenden.</w:t>
      </w:r>
    </w:p>
    <w:p>
      <w:pPr/>
      <w:r>
        <w:t>Das Bundesverfassungsgericht hat im bayerischen Vollzug eine konkret begründete Ablehnung eines privaten Laptops gebilligt und zugleich technischen Vorkehrungen, leistbarem Kontrollaufwand und besonderem individuellen Bedarf Bedeutung beigemessen, BVerfG, Beschluss vom 27.03.2019, Az. 2 BvR 2268/18, Randnummern 4 bis 11. Die Entscheidung begründet weder einen allgemeinen Laptopanspruch noch ein allgemeines Computerverbot. Das vorliegende Prüfangebot, die aktuellen Gerätekomponenten und die betreute Alternative müssen deshalb tatsächlich untersucht werden. Telekommunikation nach Artikel 35 Absatz 2 BayStVollzG ist ein eigener Gegenstand; ein Internet- oder E-Mail-Zugang wird hier gerade nicht beantragt.</w:t>
      </w:r>
    </w:p>
    <w:p>
      <w:pPr>
        <w:pStyle w:val="Heading1"/>
      </w:pPr>
      <w:r>
        <w:t>4. Noch aufzuklärende Tatsachen</w:t>
      </w:r>
    </w:p>
    <w:p>
      <w:pPr/>
      <w:r>
        <w:t>Die antragstellende Person hält nicht sämtliche tatsächlichen Voraussetzungen für abschließend bewiesen. Technisches Endgutachten zum tatsächlichen Gerät fehlt. Kursdateien wurden im Computerraum noch nicht erprobt. Fristverlängerung und Arbeitsfreistellung sind nicht abschließend bestätigt. Die Anstalt soll Gelegenheit erhalten, ihre konkreten Sicherheits- und Organisationsbelange anhand der vollständigen Unterlagen zu erläutern. Der Antrag auf erneute Entscheidung nimmt das Ergebnis dieser Prüfung nicht vorweg.</w:t>
      </w:r>
    </w:p>
    <w:p>
      <w:pPr>
        <w:pStyle w:val="Heading1"/>
      </w:pPr>
      <w:r>
        <w:t>5. Anlagen</w:t>
      </w:r>
    </w:p>
    <w:p>
      <w:pPr/>
      <w:r>
        <w:t>A1: Antrag an die JVA. A2: angegriffener Bescheid. A3: Bekanntgabevermerk. A4: interner Hausordnungsauszug. A5: Kursbestätigung und Anforderungen an die Übungsdateien. A6: Vorläufiges Angebot zur technischen Geräteprüfung. A7: anwaltlicher Gesprächsvermerk. A8: Vollzugsplanauszug.</w:t>
      </w:r>
    </w:p>
    <w:p>
      <w:pPr/>
      <w:r>
        <w:t>Rechtsanwältin Daria Buchner</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gerichtliche Entscheidung</dc:title>
  <dc:subject/>
  <dc:creator>Rechtsanwältin Daria Buchner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