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auf gerichtliche Entscheidung</w:t>
      </w:r>
    </w:p>
    <w:p>
      <w:pPr/>
      <w:r>
        <w:t>Rechtsanwältin Felicitas Abendroth</w:t>
        <w:br/>
        <w:t>Havelsteg 12, 10589 Berlin</w:t>
        <w:br/>
        <w:t>f.abendroth@kanzlei-abendroth.example</w:t>
      </w:r>
    </w:p>
    <w:p>
      <w:pPr/>
      <w:r>
        <w:t>An die Strafvollstreckungskammer des zuständigen Landgerichts</w:t>
        <w:br/>
        <w:t>Gerichtsort vor Einreichung anhand des Sitzes der Vollzugsbehörde zuzuordnen</w:t>
      </w:r>
    </w:p>
    <w:p>
      <w:pPr/>
      <w:r>
        <w:t>16.10.2026</w:t>
        <w:br/>
        <w:t>In der Vollzugssache Yusuf Bender, geboren am 12.02.1989, Justizvollzugsanstalt Berlin Lindenbogen, Lindenbogen 46, 13589 Berlin, gegen die Leitung der Justizvollzugsanstalt Berlin Lindenbogen. Vollzugsaktenzeichen: LB-2048/26.</w:t>
      </w:r>
    </w:p>
    <w:p>
      <w:pPr>
        <w:pStyle w:val="Heading1"/>
      </w:pPr>
      <w:r>
        <w:t>1. Anträge</w:t>
      </w:r>
    </w:p>
    <w:p>
      <w:pPr/>
      <w:r>
        <w:t>Namens und in Vollmacht der antragstellenden Person wird beantragt, die Anstalt unter Aufhebung der ablehnenden Teile des Bescheids vom 02.10.2026 zu verpflichten, über einen längeren Kinderbesuch an einem der konkret angebotenen Samstagstermine und über eine verlässlich geeignete Verpflegung erneut unter Berücksichtigung der individuellen Umstände zu entscheiden.</w:t>
      </w:r>
    </w:p>
    <w:p>
      <w:pPr/>
      <w:r>
        <w:t>Es wird ferner um Beiziehung der vollständigen Vorgangsakte einschließlich der internen Stellungnahmen und der im Bescheid angesprochenen Planungsunterlagen gebeten. Soweit weitere tatsächliche Aufklärung erforderlich ist, wird um einen gerichtlichen Hinweis und Gelegenheit zur Ergänzung gebeten.</w:t>
      </w:r>
    </w:p>
    <w:p>
      <w:pPr>
        <w:pStyle w:val="Heading1"/>
      </w:pPr>
      <w:r>
        <w:t>2. Verfahrensstand</w:t>
      </w:r>
    </w:p>
    <w:p>
      <w:pPr/>
      <w:r>
        <w:t>Der Antrag an die Anstalt datiert vom 21.09.2026. Hierüber wurde mit Bescheid vom 02.10.2026 entschieden. Die vollständige Ausfertigung wurde am 05.10.2026 persönlich ausgehändigt. Dies wird durch den Bekanntgabevermerk belegt. Der vorliegende Schriftsatz ist für eine Einreichung am 16.10.2026 vorbereitet; ein tatsächlich erfolgter gerichtlicher Eingang wird damit nicht behauptet. Beweis: Antrag, Anlage A1; Bescheid, Anlage A2; Bekanntgabevermerk, Anlage A3.</w:t>
      </w:r>
    </w:p>
    <w:p>
      <w:pPr/>
      <w:r>
        <w:t>Der Antrag auf gerichtliche Entscheidung betrifft die abgelehnten Einzelmaßnahmen im Sinne von Paragraf 109 Absatz 1 StVollzG. Die antragstellende Person macht eine Verletzung eigener Rechte geltend. Für die örtliche Zuständigkeit ist nach Paragraf 110 StVollzG der Sitz der beteiligten Vollzugsbehörde maßgeblich.</w:t>
      </w:r>
    </w:p>
    <w:p>
      <w:pPr/>
      <w:r>
        <w:t>Bei der belegten ersten schriftlichen Bekanntgabe am Montag, dem 05.10.2026, endet die Zweiwochenfrist nach Paragraf 112 Absatz 1 in Verbindung mit Paragraf 120 Absatz 1 StVollzG und Paragraf 43 StPO grundsätzlich am Montag, dem 19.10.2026. Eine erneute Bitte an die Anstalt und deren Zwischennachricht setzen diese Frist nicht erneut in Gang. Für die fristgerechte schriftliche Antragstellung ist der Eingang beim Gericht zu sichern; eine bloße Abgabe bei der JVA-Poststelle wird nicht mit dem Gerichtseingang gleichgesetzt.</w:t>
      </w:r>
    </w:p>
    <w:p>
      <w:pPr/>
      <w:r>
        <w:t>Beantragt wird eine erneute sachgerechte Entscheidung auf vollständiger Tatsachengrundlage. Eine unmittelbare Gewährung der Maßnahme wird bei noch offenen tatsächlichen Voraussetzungen nicht als spruchreif dargestellt. Maßgeblich sind die Entscheidungsformen und die Kontrolle der Ermessensausübung nach Paragraf 115 StVollzG.</w:t>
      </w:r>
    </w:p>
    <w:p>
      <w:pPr>
        <w:pStyle w:val="Heading1"/>
      </w:pPr>
      <w:r>
        <w:t>3. Sachverhalt und Begründung</w:t>
      </w:r>
    </w:p>
    <w:p>
      <w:pPr/>
      <w:r>
        <w:t>Der Besuchsantrag betrifft die tatsächliche Erreichbarkeit der Kinder und die Dauer ihrer Begegnung mit dem Vater. Die bloße Verweisung auf einen Mittwochmittag berücksichtigt die inzwischen vorgelegten Schul- und Arbeitsumstände nicht. Die Antragstellung zielt weder auf unbeaufsichtigten Besuch noch auf den Wegfall von Kontrollen. Die Anstalt muss deshalb nicht zwischen vollständigem Kontrollverzicht und vollständiger Ablehnung wählen. Beleg: Anlagen A1, A2 und A5.</w:t>
      </w:r>
    </w:p>
    <w:p>
      <w:pPr/>
      <w:r>
        <w:t>Die Reparatur des größeren Familienraums und die begrenzten Aufsichtskapazitäten sind nachvollziehbare Belange. Offen bleiben jedoch die Nutzung des kleineren Raums, eine Verkürzung auf neunzig Minuten und die beiden angebotenen Novembertermine. Der Datenspeichervorgang vom Februar kann bei der Sicherheitsprüfung berücksichtigt werden. Eine Verbindung dieses Vorgangs zu den Kindern oder ihrer Mutter wird im Bescheid ausdrücklich nicht festgestellt. Beleg: Anlagen A2, A4 und A8.</w:t>
      </w:r>
    </w:p>
    <w:p>
      <w:pPr/>
      <w:r>
        <w:t>Die Küche beschreibt am 09.10.2026 eine Alternative aus vorhandenen Komponenten und eine mögliche Zutatenübersicht. Das steht nicht notwendig im Widerspruch zur Ablehnung eines eigenen Kochdurchgangs, beantwortet aber eine andere und engere Frage. Über genau diese weniger aufwendige Lösung ist bislang nicht erkennbar entschieden worden. Die Antragstellerseite verlangt keine garantierte Sonderküche und keine pauschale Anerkennung beliebiger Wünsche. Beleg: Anlagen A1, A2 und A6.</w:t>
      </w:r>
    </w:p>
    <w:p>
      <w:pPr/>
      <w:r>
        <w:t>Für den gewünschten Besuch am 24.10.2026 ist zeitnahe Klärung erforderlich. Ob ein zusätzlicher vorläufiger gerichtlicher Antrag notwendig und tragfähig ist, hängt insbesondere davon ab, ob die Anstalt rechtzeitig einen brauchbaren Alternativtermin bestätigt. Der Entwurf enthält deshalb zunächst den Hauptsacheantrag; eine nicht geprüfte Eilentscheidung wird nicht als sicher dargestellt. Beleg: Anlagen A1, A2, A5 und A7.</w:t>
      </w:r>
    </w:p>
    <w:p>
      <w:pPr/>
      <w:r>
        <w:t>Paragraf 29 Absatz 1 StVollzG Bln sieht eine Besuchsdauer von mindestens zwei Stunden im Monat und für Besuche minderjähriger Kinder zusätzlich zwei weitere Stunden vor. Die zusätzliche Dauer wurde durch das Gesetz vom 11.06.2026, GVBl. Seite 433, Artikel 1 Nummer 8, mit Wirkung vom 25.06.2026 auf zwei Stunden erweitert. Daraus folgt nicht ohne Weiteres ein Anspruch gerade auf den gewünschten Samstag. Die Entscheidung muss jedoch erkennen lassen, wie der gesetzliche Besuchsumfang im konkreten Monat tatsächlich verwirklicht wird. Die vorgelegten Unterlagen lassen dies neben dem angebotenen sechzigminütigen Termin offen.</w:t>
      </w:r>
    </w:p>
    <w:p>
      <w:pPr/>
      <w:r>
        <w:t>Paragraf 58 Satz 3 StVollzG Bln verlangt, religiöse Speisevorschriften und fleischlose Ernährung zu ermöglichen. Die persönliche religiöse Begründung des Antragstellers ist dabei konkret zu berücksichtigen. Eine vegetarische Hauptspeise beantwortet die gesonderte Frage nach Gelatine und zugesetztem Alkohol nicht vollständig. Die neue Küchenauskunft beschreibt eine mögliche Lösung aus vorhandenen Komponenten. Sie ist bei der erneuten Entscheidung zu prüfen, ohne daraus eine unbegrenzte Pflicht zu jeder gewünschten Sonderzubereitung abzuleiten. Artikel 4 Absatz 1 und 2 sowie Artikel 6 Absatz 1 GG sind bei der Auslegung der betreffenden Vollzugsregelungen zu berücksichtigen.</w:t>
      </w:r>
    </w:p>
    <w:p>
      <w:pPr>
        <w:pStyle w:val="Heading1"/>
      </w:pPr>
      <w:r>
        <w:t>4. Noch aufzuklärende Tatsachen</w:t>
      </w:r>
    </w:p>
    <w:p>
      <w:pPr/>
      <w:r>
        <w:t>Die antragstellende Person hält nicht sämtliche tatsächlichen Voraussetzungen für abschließend bewiesen. Arbeitszeitbeleg von Nele Bender fehlt noch. Nutzung des kleineren Raums und Novemberkapazitäten sind ungeklärt. Umsetzung der vorgeschlagenen Ersatzkomponente ist nicht bestätigt. Die Anstalt soll Gelegenheit erhalten, ihre konkreten Sicherheits- und Organisationsbelange anhand der vollständigen Unterlagen zu erläutern. Der Antrag auf erneute Entscheidung nimmt das Ergebnis dieser Prüfung nicht vorweg.</w:t>
      </w:r>
    </w:p>
    <w:p>
      <w:pPr>
        <w:pStyle w:val="Heading1"/>
      </w:pPr>
      <w:r>
        <w:t>5. Anlagen</w:t>
      </w:r>
    </w:p>
    <w:p>
      <w:pPr/>
      <w:r>
        <w:t>A1: Antrag an die JVA. A2: angegriffener Bescheid. A3: Bekanntgabevermerk. A4: interner Hausordnungsauszug. A5: Bestätigung zu Arbeitszeit und Kinderbesuch. A6: Auskunft der Küche zu Speisebestandteilen. A7: anwaltlicher Gesprächsvermerk. A8: Vollzugsplanauszug.</w:t>
      </w:r>
    </w:p>
    <w:p>
      <w:pPr/>
      <w:r>
        <w:t>Rechtsanwältin Felicitas Abendroth</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gerichtliche Entscheidung</dc:title>
  <dc:subject/>
  <dc:creator>Rechtsanwältin Felicitas Abendroth</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