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Auftrag und Verfahrensstand</w:t>
      </w:r>
    </w:p>
    <w:p>
      <w:pPr/>
      <w:r>
        <w:t>Samira Hartung ist erwachsen und verbüßt eine rechtskräftige Freiheitsstrafe. Ihre reguläre Entlassung ist für den 18.01.2027 vorgemerkt; eine frühere gerichtliche Entscheidung wird in dieser Akte nicht vorausgesetzt. Ihre achtjährige Tochter Fine lebt bei der Großmutter Mechthild Hartung in Langenhagen.</w:t>
      </w:r>
    </w:p>
    <w:p>
      <w:pPr/>
      <w:r>
        <w:t>Frau Hartung hat eine gestufte Erprobung von Außenkontakten beantragt. Sie möchte zunächst zu einem begleiteten Gespräch im Ausbildungsbetrieb, später zu festgelegten Zeiten an einer betrieblichen Vorbereitung teilnehmen und einen konkret begrenzten Familienkontakt erproben. Die JVA lehnt derzeit unbegleitete Lockerungen ab und verweist auf eine verspätete Rückkehr sowie unvollständige Angaben zum Tagesablauf.</w:t>
      </w:r>
    </w:p>
    <w:p>
      <w:pPr/>
      <w:r>
        <w:t>Der Stichtag ist der 16.10.2026. Betrieb und Großmutter haben inzwischen weitere Angaben geliefert. Der vorhandene gerichtliche Entwurf betrifft die individuelle Entscheidung über die beantragten Schritte. Er setzt weder eine automatische Lockerung wegen des Entlassungsdatums noch eine bestimmte Flucht- oder Missbrauchsprognose voraus.</w:t>
      </w:r>
    </w:p>
    <w:p>
      <w:pPr/>
      <w:r>
        <w:t>Ansprechperson der Anstalt: Johannes Feddersen, Leiter der Vollzugsabteilung, Birkenhain 84, 30657 Hannover. Anwaltliche Korrespondenz: Rechtsanwältin Amalia Kröger, Morgensteg 11, 30159 Hannover, a.kroeger@kanzlei-kroeger.example.</w:t>
      </w:r>
    </w:p>
    <w:p>
      <w:pPr/>
      <w:r>
        <w:t>Der Arbeitsauftrag umfasst eine belegte Chronologie, die Abgrenzung der einzelnen Antragsgegenstände und die Prüfung des vorhandenen gerichtlichen Entwurfs. Fehlende Unterlagen sollen konkret angefordert werden. Ein Versand, eine Einreichung oder die Zusage einer Vollzugsmaßnahme ist nicht beauftragt.</w:t>
      </w:r>
    </w:p>
    <w:sectPr w:rsidR="00FC693F" w:rsidRPr="0006063C" w:rsidSect="00034616">
      <w:footerReference w:type="default" r:id="rId9"/>
      <w:pgSz w:w="11906" w:h="16838"/>
      <w:pgMar w:top="1191"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 und Verfahrensstand</dc:title>
  <dc:subject/>
  <dc:creator>Rechtsanwältin Amalia Kröger</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