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Antrag auf gerichtliche Entscheidung</w:t>
      </w:r>
    </w:p>
    <w:p>
      <w:pPr/>
      <w:r>
        <w:t>Rechtsanwältin Amalia Kröger</w:t>
        <w:br/>
        <w:t>Morgensteg 11, 30159 Hannover</w:t>
        <w:br/>
        <w:t>a.kroeger@kanzlei-kroeger.example</w:t>
      </w:r>
    </w:p>
    <w:p>
      <w:pPr/>
      <w:r>
        <w:t>An die Strafvollstreckungskammer des zuständigen Landgerichts</w:t>
        <w:br/>
        <w:t>Gerichtsort vor Einreichung anhand des Sitzes der Vollzugsbehörde zuzuordnen</w:t>
      </w:r>
    </w:p>
    <w:p>
      <w:pPr/>
      <w:r>
        <w:t>16.10.2026</w:t>
        <w:br/>
        <w:t>In der Vollzugssache Samira Hartung, geboren am 16.11.1991, Justizvollzugsanstalt Hannover Birkenhain, Birkenhain 84, 30657 Hannover, gegen die Leitung der Justizvollzugsanstalt Hannover Birkenhain. Vollzugsaktenzeichen: BH-719/24.</w:t>
      </w:r>
    </w:p>
    <w:p>
      <w:pPr>
        <w:pStyle w:val="Heading1"/>
      </w:pPr>
      <w:r>
        <w:t>1. Anträge</w:t>
      </w:r>
    </w:p>
    <w:p>
      <w:pPr/>
      <w:r>
        <w:t>Namens und in Vollmacht der antragstellenden Person wird beantragt, die Anstalt unter Aufhebung des Bescheids vom 02.10.2026 zu verpflichten, erneut und getrennt über einen begleiteten Erstkontakt mit dem Ausbildungsbetrieb, die daran anschließende gestufte Erprobung sowie einen konkret geplanten Familienkontakt zu entscheiden.</w:t>
      </w:r>
    </w:p>
    <w:p>
      <w:pPr/>
      <w:r>
        <w:t>Es wird ferner um Beiziehung der vollständigen Vorgangsakte einschließlich der internen Stellungnahmen und der im Bescheid angesprochenen Planungsunterlagen gebeten. Soweit weitere tatsächliche Aufklärung erforderlich ist, wird um einen gerichtlichen Hinweis und Gelegenheit zur Ergänzung gebeten.</w:t>
      </w:r>
    </w:p>
    <w:p>
      <w:pPr>
        <w:pStyle w:val="Heading1"/>
      </w:pPr>
      <w:r>
        <w:t>2. Verfahrensstand</w:t>
      </w:r>
    </w:p>
    <w:p>
      <w:pPr/>
      <w:r>
        <w:t>Der Antrag an die Anstalt datiert vom 16.09.2026. Hierüber wurde mit Bescheid vom 02.10.2026 entschieden. Die vollständige Ausfertigung wurde am 05.10.2026 persönlich ausgehändigt. Dies wird durch den Bekanntgabevermerk belegt. Der vorliegende Schriftsatz ist für eine Einreichung am 16.10.2026 vorbereitet; ein tatsächlich erfolgter gerichtlicher Eingang wird damit nicht behauptet. Beweis: Antrag, Anlage A1; Bescheid, Anlage A2; Bekanntgabevermerk, Anlage A3.</w:t>
      </w:r>
    </w:p>
    <w:p>
      <w:pPr/>
      <w:r>
        <w:t>Der Antrag auf gerichtliche Entscheidung betrifft die abgelehnten Einzelmaßnahmen im Sinne von Paragraf 109 Absatz 1 StVollzG. Die antragstellende Person macht eine Verletzung eigener Rechte geltend. Für die örtliche Zuständigkeit ist nach Paragraf 110 StVollzG der Sitz der beteiligten Vollzugsbehörde maßgeblich.</w:t>
      </w:r>
    </w:p>
    <w:p>
      <w:pPr/>
      <w:r>
        <w:t>Bei der belegten ersten schriftlichen Bekanntgabe am Montag, dem 05.10.2026, endet die Zweiwochenfrist nach Paragraf 112 Absatz 1 in Verbindung mit Paragraf 120 Absatz 1 StVollzG und Paragraf 43 StPO grundsätzlich am Montag, dem 19.10.2026. Eine erneute Bitte an die Anstalt und deren Zwischennachricht setzen diese Frist nicht erneut in Gang. Für die fristgerechte schriftliche Antragstellung ist der Eingang beim Gericht zu sichern; eine bloße Abgabe bei der JVA-Poststelle wird nicht mit dem Gerichtseingang gleichgesetzt.</w:t>
      </w:r>
    </w:p>
    <w:p>
      <w:pPr/>
      <w:r>
        <w:t>Beantragt wird eine erneute sachgerechte Entscheidung auf vollständiger Tatsachengrundlage. Eine unmittelbare Gewährung der Maßnahme wird bei noch offenen tatsächlichen Voraussetzungen nicht als spruchreif dargestellt. Maßgeblich sind die Entscheidungsformen und die Kontrolle der Ermessensausübung nach Paragraf 115 StVollzG.</w:t>
      </w:r>
    </w:p>
    <w:p>
      <w:pPr>
        <w:pStyle w:val="Heading1"/>
      </w:pPr>
      <w:r>
        <w:t>3. Sachverhalt und Begründung</w:t>
      </w:r>
    </w:p>
    <w:p>
      <w:pPr/>
      <w:r>
        <w:t>Der Bescheid behandelt im Entscheidungssatz vor allem unbegleitete regelmäßige Maßnahmen. Der Antrag vom 16.09.2026 enthält jedoch ausdrücklich einen begleiteten Erstkontakt und weitere abgestufte Möglichkeiten. Eine Prüfung dieser engeren Schritte darf nicht dadurch offenbleiben, dass noch nicht sämtliche Voraussetzungen eines späteren regelmäßigen Außenaufenthalts feststehen. Beleg: Anlagen A1 und A2.</w:t>
      </w:r>
    </w:p>
    <w:p>
      <w:pPr/>
      <w:r>
        <w:t>Der Dienstvermerk erläutert den zunächst nur verkürzt dokumentierten Augustvorgang. Die verspätete Rückkehr beruhte danach auf einer Verkehrsunterbrechung bei fortbestehender Begleitung und angekündigter Verzögerung. Diese Feststellungen müssen in die individuelle Bewertung einfließen. Sie erlauben keine automatische positive Prognose; ebenso wenig trägt der bloße Kurzeintrag eine ungünstige Bewertung ohne Betrachtung der Ursache. Beleg: Anlagen A2, A6 und A8.</w:t>
      </w:r>
    </w:p>
    <w:p>
      <w:pPr/>
      <w:r>
        <w:t>Die betrieblichen Angaben sind inzwischen wesentlich konkreter. Ansprechpartnerin, Tätigkeiten, Zeiten, Ausschluss bestimmter Zugriffe und zwei Ersttermine werden benannt. Ein geprüfter Wegeplan und eine verbindliche regelmäßige Vereinbarung fehlen weiterhin. Der Antrag zielt daher auf eine erneute Entscheidung unter Berücksichtigung dieser Angaben und der noch erforderlichen Bedingungen. Beleg: Anlagen A1 und A5.</w:t>
      </w:r>
    </w:p>
    <w:p>
      <w:pPr/>
      <w:r>
        <w:t>Beim Familienkontakt sind die Interessen der Tochter, die Betreuung durch die Großmutter und die konkrete Ausgestaltung einzubeziehen. Das nahe Entlassungsdatum verstärkt die Bedeutung einer rechtzeitigen Vorbereitung, ersetzt aber nicht die individuelle Prognose. Die allgemeine Dienstplanlage kann konkrete Begleitmöglichkeiten begrenzen; sie beantwortet ohne Terminprüfung nicht abschließend, ob jeder angebotene Ersttermin ausscheidet. Beleg: Anlagen A1, A2, A7 und A8.</w:t>
      </w:r>
    </w:p>
    <w:p>
      <w:pPr/>
      <w:r>
        <w:t>Paragraf 13 Absatz 1 NJVollzG unterscheidet die Arten vollzugsöffnender Maßnahmen. Eine beschäftigungsbezogene regelmäßige Außentätigkeit ist von einem zeitlich begrenzten Ausgang und von einem begleiteten ersten Kontakt zu trennen. Der Familienkontakt darf nicht allein wegen seiner Bedeutung für die Entlassung als Arbeitsfreigang bezeichnet werden. Nach den Absätzen 2 und 3 sind die konkreten Flucht- und Missbrauchsfragen anhand verlässlicher individueller Erkenntnisse zu prüfen.</w:t>
      </w:r>
    </w:p>
    <w:p>
      <w:pPr/>
      <w:r>
        <w:t>Paragraf 17 Absatz 1 NJVollzG sieht Lockerungen zur Entlassungsvorbereitung unter den Voraussetzungen des Paragrafen 13 vor. Die Vorschrift ist für die rechtzeitige Prüfung der gestuften Vorschläge heranzuziehen. Die Sonderregelungen für bestimmte Zeiträume oder bereits erprobte Freigänger werden hier nicht ohne ihre weiteren Voraussetzungen beansprucht. Ein Wechsel in den offenen Vollzug nach Paragraf 12 Absatz 2 NJVollzG ist nicht Gegenstand dieses Antrags und wäre gesondert zu prüfen.</w:t>
      </w:r>
    </w:p>
    <w:p>
      <w:pPr/>
      <w:r>
        <w:t>Die Prognose darf sich nicht in allgemeinen Risikoformeln erschöpfen. Geeignete Begleitung und Sicherheitsvorkehrungen müssen als konkrete Alternativen betrachtet werden. Hierfür bietet BVerfG, Beschluss vom 18.09.2019, Az. 2 BvR 681/19, Randnummern 17 bis 24, einen verfassungsrechtlichen Maßstab. Der damalige Fall betraf langjährige Haft und begründet keinen automatischen Anspruch dieser Antragstellerin auf unbegleitete Lockerungen. Für Frau Hartung tragen vor allem die aktuelle Landesnorm, die bevorstehende Entlassung und die individualisierten Belege die begehrte erneute Entscheidung.</w:t>
      </w:r>
    </w:p>
    <w:p>
      <w:pPr>
        <w:pStyle w:val="Heading1"/>
      </w:pPr>
      <w:r>
        <w:t>4. Noch aufzuklärende Tatsachen</w:t>
      </w:r>
    </w:p>
    <w:p>
      <w:pPr/>
      <w:r>
        <w:t>Die antragstellende Person hält nicht sämtliche tatsächlichen Voraussetzungen für abschließend bewiesen. Wegeplan und regelmäßige betriebliche Vereinbarung fehlen. Begleitung an den zwei angebotenen Terminen ist nicht geprüft. Konkrete Ausgestaltung des Familienkontakts und Fachauskunft sind offen. Die Anstalt soll Gelegenheit erhalten, ihre konkreten Sicherheits- und Organisationsbelange anhand der vollständigen Unterlagen zu erläutern. Der Antrag auf erneute Entscheidung nimmt das Ergebnis dieser Prüfung nicht vorweg.</w:t>
      </w:r>
    </w:p>
    <w:p>
      <w:pPr>
        <w:pStyle w:val="Heading1"/>
      </w:pPr>
      <w:r>
        <w:t>5. Anlagen</w:t>
      </w:r>
    </w:p>
    <w:p>
      <w:pPr/>
      <w:r>
        <w:t>A1: Antrag an die JVA. A2: angegriffener Bescheid. A3: Bekanntgabevermerk. A4: interner Hausordnungsauszug. A5: Angebot eines betrieblichen Kennenlerntermins. A6: Dienstvermerk zur begleiteten Maßnahme am 6 August. A7: anwaltlicher Gesprächsvermerk. A8: Vollzugsplanauszug.</w:t>
      </w:r>
    </w:p>
    <w:p>
      <w:pPr/>
      <w:r>
        <w:t>Rechtsanwältin Amalia Kröger</w:t>
      </w:r>
    </w:p>
    <w:sectPr w:rsidR="00FC693F" w:rsidRPr="0006063C" w:rsidSect="00034616">
      <w:footerReference w:type="default" r:id="rId9"/>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gerichtliche Entscheidung</dc:title>
  <dc:subject/>
  <dc:creator>Rechtsanwältin Amalia Kröger</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